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507D0">
      <w:p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附件1：</w:t>
      </w:r>
    </w:p>
    <w:p w14:paraId="0DCDFC6F">
      <w:pPr>
        <w:jc w:val="center"/>
        <w:rPr>
          <w:rFonts w:hint="eastAsia" w:ascii="黑体" w:hAnsi="黑体" w:eastAsia="黑体" w:cs="黑体"/>
          <w:i w:val="0"/>
          <w:iCs w:val="0"/>
          <w:caps w:val="0"/>
          <w:color w:val="000000"/>
          <w:spacing w:val="0"/>
          <w:sz w:val="44"/>
          <w:szCs w:val="44"/>
          <w:shd w:val="clear" w:fill="FFFFFF"/>
          <w:vertAlign w:val="baseline"/>
          <w:lang w:val="en-US" w:eastAsia="zh-CN"/>
        </w:rPr>
      </w:pPr>
    </w:p>
    <w:p w14:paraId="3694B581">
      <w:pPr>
        <w:jc w:val="center"/>
        <w:rPr>
          <w:rFonts w:hint="eastAsia" w:ascii="方正小标宋简体" w:hAnsi="方正小标宋简体" w:eastAsia="方正小标宋简体" w:cs="方正小标宋简体"/>
          <w:color w:val="000000"/>
          <w:kern w:val="0"/>
          <w:sz w:val="44"/>
          <w:szCs w:val="44"/>
          <w:vertAlign w:val="baseline"/>
          <w:lang w:val="en-US" w:eastAsia="zh-CN" w:bidi="ar-SA"/>
        </w:rPr>
      </w:pPr>
      <w:r>
        <w:rPr>
          <w:rFonts w:hint="eastAsia" w:ascii="方正小标宋简体" w:hAnsi="方正小标宋简体" w:eastAsia="方正小标宋简体" w:cs="方正小标宋简体"/>
          <w:sz w:val="44"/>
          <w:szCs w:val="44"/>
          <w:lang w:val="en-US" w:eastAsia="zh-CN"/>
        </w:rPr>
        <w:t>采 购 要 求</w:t>
      </w:r>
    </w:p>
    <w:p w14:paraId="03F0BEDE">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p>
    <w:p w14:paraId="6DD60D17">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一、供应商资质</w:t>
      </w:r>
    </w:p>
    <w:p w14:paraId="3C8D6E2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具有独立承担民事责任的能力</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6847F63E">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具有良好的商业信誉和健全的财务会计制度</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59D5023D">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具有履行合同所必需的设备和专业技术能力</w:t>
      </w:r>
      <w:r>
        <w:rPr>
          <w:rFonts w:hint="eastAsia" w:ascii="仿宋_GB2312" w:hAnsi="仿宋_GB2312" w:eastAsia="仿宋_GB2312" w:cs="仿宋_GB2312"/>
          <w:bCs/>
          <w:sz w:val="28"/>
          <w:szCs w:val="28"/>
          <w:lang w:eastAsia="zh-CN"/>
        </w:rPr>
        <w:t>（提供营业执照）</w:t>
      </w:r>
      <w:r>
        <w:rPr>
          <w:rFonts w:hint="eastAsia" w:ascii="仿宋_GB2312" w:hAnsi="仿宋_GB2312" w:eastAsia="仿宋_GB2312" w:cs="仿宋_GB2312"/>
          <w:bCs/>
          <w:sz w:val="28"/>
          <w:szCs w:val="28"/>
        </w:rPr>
        <w:t>。</w:t>
      </w:r>
    </w:p>
    <w:p w14:paraId="09EA0F4B">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560" w:firstLineChars="200"/>
        <w:jc w:val="lef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4</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参加本次</w:t>
      </w:r>
      <w:r>
        <w:rPr>
          <w:rFonts w:hint="eastAsia" w:ascii="仿宋_GB2312" w:hAnsi="仿宋_GB2312" w:eastAsia="仿宋_GB2312" w:cs="仿宋_GB2312"/>
          <w:bCs/>
          <w:sz w:val="28"/>
          <w:szCs w:val="28"/>
          <w:lang w:val="en-US" w:eastAsia="zh-CN"/>
        </w:rPr>
        <w:t>比价</w:t>
      </w:r>
      <w:r>
        <w:rPr>
          <w:rFonts w:hint="eastAsia" w:ascii="仿宋_GB2312" w:hAnsi="仿宋_GB2312" w:eastAsia="仿宋_GB2312" w:cs="仿宋_GB2312"/>
          <w:bCs/>
          <w:sz w:val="28"/>
          <w:szCs w:val="28"/>
        </w:rPr>
        <w:t>活动前三年内，在经营活动中没有重大违法记录</w:t>
      </w:r>
      <w:r>
        <w:rPr>
          <w:rFonts w:hint="eastAsia" w:ascii="仿宋_GB2312" w:hAnsi="仿宋_GB2312" w:eastAsia="仿宋_GB2312" w:cs="仿宋_GB2312"/>
          <w:bCs/>
          <w:sz w:val="28"/>
          <w:szCs w:val="28"/>
          <w:lang w:eastAsia="zh-CN"/>
        </w:rPr>
        <w:t>（提供承诺函）</w:t>
      </w:r>
      <w:r>
        <w:rPr>
          <w:rFonts w:hint="eastAsia" w:ascii="仿宋_GB2312" w:hAnsi="仿宋_GB2312" w:eastAsia="仿宋_GB2312" w:cs="仿宋_GB2312"/>
          <w:bCs/>
          <w:sz w:val="28"/>
          <w:szCs w:val="28"/>
        </w:rPr>
        <w:t>。</w:t>
      </w:r>
    </w:p>
    <w:p w14:paraId="20C5FD1E">
      <w:pPr>
        <w:pStyle w:val="13"/>
        <w:ind w:firstLine="560" w:firstLineChars="200"/>
        <w:rPr>
          <w:rFonts w:hint="default" w:eastAsia="仿宋_GB2312"/>
          <w:sz w:val="28"/>
          <w:szCs w:val="28"/>
          <w:lang w:val="en-US" w:eastAsia="zh-CN"/>
        </w:rPr>
      </w:pPr>
      <w:r>
        <w:rPr>
          <w:rFonts w:hint="eastAsia" w:ascii="仿宋_GB2312" w:hAnsi="仿宋_GB2312" w:eastAsia="仿宋_GB2312" w:cs="仿宋_GB2312"/>
          <w:bCs/>
          <w:sz w:val="28"/>
          <w:szCs w:val="28"/>
          <w:lang w:val="en-US" w:eastAsia="zh-CN"/>
        </w:rPr>
        <w:t>5.</w:t>
      </w:r>
      <w:r>
        <w:rPr>
          <w:rFonts w:hint="eastAsia" w:ascii="方正仿宋_GB2312" w:hAnsi="方正仿宋_GB2312" w:eastAsia="方正仿宋_GB2312" w:cs="方正仿宋_GB2312"/>
          <w:color w:val="auto"/>
          <w:sz w:val="28"/>
          <w:szCs w:val="28"/>
          <w:highlight w:val="none"/>
          <w:lang w:eastAsia="zh-CN"/>
        </w:rPr>
        <w:t>本项目不接受联合体参与比选；</w:t>
      </w:r>
    </w:p>
    <w:p w14:paraId="183613E9">
      <w:pPr>
        <w:pStyle w:val="9"/>
        <w:ind w:left="0" w:leftChars="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
          <w:bCs w:val="0"/>
          <w:sz w:val="28"/>
          <w:szCs w:val="28"/>
          <w:lang w:val="en-US" w:eastAsia="zh-CN"/>
        </w:rPr>
        <w:t>注：上述资料均加盖公司鲜章。</w:t>
      </w:r>
    </w:p>
    <w:p w14:paraId="017890F1">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二、需求及技术要求</w:t>
      </w:r>
    </w:p>
    <w:tbl>
      <w:tblPr>
        <w:tblStyle w:val="10"/>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56" w:type="dxa"/>
          <w:left w:w="96" w:type="dxa"/>
          <w:bottom w:w="56" w:type="dxa"/>
          <w:right w:w="96" w:type="dxa"/>
        </w:tblCellMar>
      </w:tblPr>
      <w:tblGrid>
        <w:gridCol w:w="752"/>
        <w:gridCol w:w="1718"/>
        <w:gridCol w:w="752"/>
        <w:gridCol w:w="752"/>
        <w:gridCol w:w="4548"/>
      </w:tblGrid>
      <w:tr w14:paraId="7BF2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tblHeader/>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2A1">
            <w:pPr>
              <w:keepNext w:val="0"/>
              <w:keepLines w:val="0"/>
              <w:widowControl/>
              <w:suppressLineNumbers w:val="0"/>
              <w:snapToGrid w:val="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序号</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7981">
            <w:pPr>
              <w:keepNext w:val="0"/>
              <w:keepLines w:val="0"/>
              <w:widowControl/>
              <w:suppressLineNumbers w:val="0"/>
              <w:snapToGrid w:val="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名称</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848D">
            <w:pPr>
              <w:keepNext w:val="0"/>
              <w:keepLines w:val="0"/>
              <w:widowControl/>
              <w:suppressLineNumbers w:val="0"/>
              <w:snapToGrid w:val="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数量</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DFE8">
            <w:pPr>
              <w:keepNext w:val="0"/>
              <w:keepLines w:val="0"/>
              <w:widowControl/>
              <w:suppressLineNumbers w:val="0"/>
              <w:snapToGrid w:val="0"/>
              <w:jc w:val="center"/>
              <w:textAlignment w:val="center"/>
              <w:rPr>
                <w:rFonts w:hint="eastAsia" w:ascii="宋体" w:hAnsi="宋体" w:eastAsia="宋体" w:cs="宋体"/>
                <w:b/>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单位</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8FA7">
            <w:pPr>
              <w:keepNext w:val="0"/>
              <w:keepLines w:val="0"/>
              <w:widowControl/>
              <w:suppressLineNumbers w:val="0"/>
              <w:snapToGrid w:val="0"/>
              <w:jc w:val="center"/>
              <w:textAlignment w:val="center"/>
              <w:rPr>
                <w:rFonts w:hint="eastAsia" w:ascii="宋体" w:hAnsi="宋体" w:eastAsia="宋体" w:cs="宋体"/>
                <w:b/>
                <w:i w:val="0"/>
                <w:iCs w:val="0"/>
                <w:color w:val="auto"/>
                <w:kern w:val="0"/>
                <w:sz w:val="22"/>
                <w:szCs w:val="22"/>
                <w:u w:val="none"/>
                <w:lang w:val="en-US" w:eastAsia="zh-CN" w:bidi="ar"/>
              </w:rPr>
            </w:pPr>
            <w:r>
              <w:rPr>
                <w:rFonts w:hint="eastAsia" w:ascii="宋体" w:hAnsi="宋体" w:eastAsia="宋体" w:cs="宋体"/>
                <w:b/>
                <w:i w:val="0"/>
                <w:iCs w:val="0"/>
                <w:color w:val="auto"/>
                <w:kern w:val="0"/>
                <w:sz w:val="22"/>
                <w:szCs w:val="22"/>
                <w:u w:val="none"/>
                <w:lang w:val="en-US" w:eastAsia="zh-CN" w:bidi="ar"/>
              </w:rPr>
              <w:t>技术参数</w:t>
            </w:r>
          </w:p>
        </w:tc>
      </w:tr>
      <w:tr w14:paraId="4DFD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8A8D">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1</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441B">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病案数字化制作系统</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2AD9">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085E">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套</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188C">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lang w:val="en-US" w:eastAsia="zh-CN"/>
              </w:rPr>
              <w:t>1</w:t>
            </w:r>
            <w:r>
              <w:rPr>
                <w:rFonts w:hint="eastAsia" w:ascii="宋体" w:hAnsi="宋体" w:eastAsia="Arial" w:cs="仿宋"/>
                <w:color w:val="auto"/>
                <w:sz w:val="24"/>
                <w:szCs w:val="24"/>
              </w:rPr>
              <w:t>.系统能够支持详细信息，可录入的姓名，年龄，住院日期，出院日期，科室、主要诊断、主要诊断编码，主要手术和主要手术编码。</w:t>
            </w:r>
          </w:p>
          <w:p w14:paraId="0B031084">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rPr>
              <w:t>3.对原始纸质病案应用数码技术分页数字化加工制作，形成数码图像。</w:t>
            </w:r>
          </w:p>
          <w:p w14:paraId="268C7170">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rPr>
              <w:t>4.图像高清，数字化病案的图像尺寸为2048×1536（310万像素）及以上，必须同时提供彩色图像和黑白图像二份图片。</w:t>
            </w:r>
          </w:p>
          <w:p w14:paraId="0BD12283">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kern w:val="0"/>
                <w:sz w:val="24"/>
              </w:rPr>
            </w:pPr>
            <w:r>
              <w:rPr>
                <w:rFonts w:hint="eastAsia" w:ascii="宋体" w:hAnsi="宋体" w:eastAsia="Arial" w:cs="仿宋"/>
                <w:color w:val="auto"/>
                <w:sz w:val="24"/>
                <w:szCs w:val="24"/>
              </w:rPr>
              <w:t>5.原始纸质病案可以使用条形码技术装箱保存，定位管理，便于对原始纸质病案的快速查找。</w:t>
            </w:r>
          </w:p>
          <w:p w14:paraId="61F28B83">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kern w:val="0"/>
                <w:sz w:val="24"/>
              </w:rPr>
              <w:t>6.彩色图像采用JPEG2000格式存储，文件平均大小232Kb之内，黑白图像采用TIFF格式存储，文件平均大小65Kb以内，图像高清，数字化病案的图像尺寸为2048×1536（310万像素）及以上。</w:t>
            </w:r>
          </w:p>
          <w:p w14:paraId="4F6A03CC">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kern w:val="0"/>
                <w:sz w:val="24"/>
              </w:rPr>
              <w:t>7.病案数字化扫描过程中增加实体病案出库和加工完成后入库定位点对点的病案示踪功能。</w:t>
            </w:r>
          </w:p>
          <w:p w14:paraId="0EB8D8F7">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rPr>
              <w:t>9.病案数字化系统是医院信息化建设的重要组成部分，需要</w:t>
            </w:r>
            <w:r>
              <w:rPr>
                <w:rFonts w:hint="eastAsia" w:ascii="宋体" w:hAnsi="宋体" w:eastAsia="宋体" w:cs="仿宋"/>
                <w:color w:val="auto"/>
                <w:sz w:val="24"/>
                <w:szCs w:val="24"/>
                <w:lang w:eastAsia="zh-CN"/>
              </w:rPr>
              <w:t>具备与医院</w:t>
            </w:r>
            <w:r>
              <w:rPr>
                <w:rFonts w:hint="eastAsia" w:ascii="宋体" w:hAnsi="宋体" w:eastAsia="Arial" w:cs="仿宋"/>
                <w:color w:val="auto"/>
                <w:sz w:val="24"/>
                <w:szCs w:val="24"/>
              </w:rPr>
              <w:t>电子病历系统以及医院病案数字化信息平台</w:t>
            </w:r>
            <w:r>
              <w:rPr>
                <w:rFonts w:hint="eastAsia" w:eastAsia="宋体"/>
                <w:color w:val="auto"/>
                <w:lang w:eastAsia="zh-CN"/>
              </w:rPr>
              <w:t>接口对接功能</w:t>
            </w:r>
            <w:r>
              <w:rPr>
                <w:rFonts w:hint="eastAsia" w:ascii="宋体" w:hAnsi="宋体" w:eastAsia="Arial" w:cs="仿宋"/>
                <w:color w:val="auto"/>
                <w:sz w:val="24"/>
                <w:szCs w:val="24"/>
              </w:rPr>
              <w:t>，以实现医院各系统的互联互通。</w:t>
            </w:r>
          </w:p>
          <w:p w14:paraId="24CF0DD1">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rPr>
              <w:t>10.病案数字化系统</w:t>
            </w:r>
            <w:r>
              <w:rPr>
                <w:rFonts w:hint="eastAsia" w:ascii="宋体" w:hAnsi="宋体" w:eastAsia="宋体" w:cs="仿宋"/>
                <w:color w:val="auto"/>
                <w:sz w:val="24"/>
                <w:szCs w:val="24"/>
                <w:lang w:eastAsia="zh-CN"/>
              </w:rPr>
              <w:t>具备</w:t>
            </w:r>
            <w:r>
              <w:rPr>
                <w:rFonts w:hint="eastAsia" w:ascii="宋体" w:hAnsi="宋体" w:eastAsia="Arial" w:cs="仿宋"/>
                <w:color w:val="auto"/>
                <w:sz w:val="24"/>
                <w:szCs w:val="24"/>
              </w:rPr>
              <w:t>病案质量自动审核功能，达到自动筛选出问题病案，并实现导出功能。</w:t>
            </w:r>
          </w:p>
          <w:p w14:paraId="18A123EE">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rPr>
              <w:t>11.兼容性：数字化管理系统包括病案加工系统、窗口打印系统、病案查询系统、死亡病案及非医嘱离院病案上传系统、纸质病案管理系统，实现院内信息化应用。数字化病案图像浏览等软件需兼容，能方便医院后期的信息整合和调用等。</w:t>
            </w:r>
          </w:p>
          <w:p w14:paraId="0D849BB0">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lang w:val="en-US" w:eastAsia="zh-CN"/>
              </w:rPr>
              <w:t>12</w:t>
            </w:r>
            <w:r>
              <w:rPr>
                <w:rFonts w:hint="eastAsia" w:ascii="宋体" w:hAnsi="宋体" w:eastAsia="Arial" w:cs="仿宋"/>
                <w:color w:val="auto"/>
                <w:sz w:val="24"/>
                <w:szCs w:val="24"/>
              </w:rPr>
              <w:t>.系统符合国家、卫生部等各种标准和规范，符合医院实际需求。</w:t>
            </w:r>
          </w:p>
          <w:p w14:paraId="44D4CFB4">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lang w:val="en-US" w:eastAsia="zh-CN"/>
              </w:rPr>
              <w:t>13.</w:t>
            </w:r>
            <w:r>
              <w:rPr>
                <w:rFonts w:hint="eastAsia" w:ascii="宋体" w:hAnsi="宋体" w:eastAsia="Arial" w:cs="仿宋"/>
                <w:color w:val="auto"/>
                <w:sz w:val="24"/>
                <w:szCs w:val="24"/>
              </w:rPr>
              <w:t>系统采用开放性设计，能根据医院实际需求进行应用系统的功能重组、二次开发。</w:t>
            </w:r>
          </w:p>
          <w:p w14:paraId="35B74859">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lang w:val="en-US" w:eastAsia="zh-CN"/>
              </w:rPr>
              <w:t>14</w:t>
            </w:r>
            <w:r>
              <w:rPr>
                <w:rFonts w:hint="eastAsia" w:ascii="宋体" w:hAnsi="宋体" w:eastAsia="Arial" w:cs="仿宋"/>
                <w:color w:val="auto"/>
                <w:sz w:val="24"/>
                <w:szCs w:val="24"/>
              </w:rPr>
              <w:t>.系统病案检索有单一和组合模式，按使用者需求检索所需病案。</w:t>
            </w:r>
          </w:p>
          <w:p w14:paraId="3DA767D6">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lang w:val="en-US" w:eastAsia="zh-CN"/>
              </w:rPr>
              <w:t>15</w:t>
            </w:r>
            <w:r>
              <w:rPr>
                <w:rFonts w:hint="eastAsia" w:ascii="宋体" w:hAnsi="宋体" w:eastAsia="Arial" w:cs="仿宋"/>
                <w:color w:val="auto"/>
                <w:sz w:val="24"/>
                <w:szCs w:val="24"/>
              </w:rPr>
              <w:t>.阅读显示病案图像具有水印，能防范数码相机偷拍。屏蔽非法拷贝病案，具有彩色和黑白阅读打印功能。</w:t>
            </w:r>
          </w:p>
          <w:p w14:paraId="45F0AD3D">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lang w:val="en-US" w:eastAsia="zh-CN"/>
              </w:rPr>
              <w:t>16</w:t>
            </w:r>
            <w:r>
              <w:rPr>
                <w:rFonts w:hint="eastAsia" w:ascii="宋体" w:hAnsi="宋体" w:eastAsia="Arial" w:cs="仿宋"/>
                <w:color w:val="auto"/>
                <w:sz w:val="24"/>
                <w:szCs w:val="24"/>
              </w:rPr>
              <w:t>.设有使用权限数字化病案功能；设有网络申请和审批使用数字化病案功能；设有授权的时段内（永久、年、月、日、小时）功能（超出时间范围自动屏蔽）；医保、商业保险公司以及公检法等外部用户可以按系统临时授予的权限查看病案。</w:t>
            </w:r>
          </w:p>
          <w:p w14:paraId="02EDB7D6">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lang w:val="en-US" w:eastAsia="zh-CN"/>
              </w:rPr>
              <w:t>17</w:t>
            </w:r>
            <w:r>
              <w:rPr>
                <w:rFonts w:hint="eastAsia" w:ascii="宋体" w:hAnsi="宋体" w:eastAsia="Arial" w:cs="仿宋"/>
                <w:color w:val="auto"/>
                <w:sz w:val="24"/>
                <w:szCs w:val="24"/>
              </w:rPr>
              <w:t>.病案访问权限分为阅读、打印和导出三类，每一级权限向下兼容，访问控制包括用户组权限、科室权限、有效期限制、医学分类限制、IP地址限制、显示字段限制和特殊病案锁定。</w:t>
            </w:r>
          </w:p>
          <w:p w14:paraId="4BABFDF0">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lang w:val="en-US" w:eastAsia="zh-CN"/>
              </w:rPr>
              <w:t>18</w:t>
            </w:r>
            <w:r>
              <w:rPr>
                <w:rFonts w:hint="eastAsia" w:ascii="宋体" w:hAnsi="宋体" w:eastAsia="Arial" w:cs="仿宋"/>
                <w:color w:val="auto"/>
                <w:sz w:val="24"/>
                <w:szCs w:val="24"/>
              </w:rPr>
              <w:t>.系统自动记录用户在系统内所有操作的详细日志，并可形成报表，便于回溯追踪。</w:t>
            </w:r>
          </w:p>
          <w:p w14:paraId="31907939">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lang w:val="en-US" w:eastAsia="zh-CN"/>
              </w:rPr>
              <w:t>19</w:t>
            </w:r>
            <w:r>
              <w:rPr>
                <w:rFonts w:hint="eastAsia" w:ascii="宋体" w:hAnsi="宋体" w:eastAsia="Arial" w:cs="仿宋"/>
                <w:color w:val="auto"/>
                <w:sz w:val="24"/>
                <w:szCs w:val="24"/>
              </w:rPr>
              <w:t>.系统可实现对病案数据的磁盘备份，提供定时定期的数据备份以及还原功能。</w:t>
            </w:r>
          </w:p>
          <w:p w14:paraId="725A6B73">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lang w:val="en-US" w:eastAsia="zh-CN"/>
              </w:rPr>
              <w:t>20.</w:t>
            </w:r>
            <w:r>
              <w:rPr>
                <w:rFonts w:hint="eastAsia" w:ascii="宋体" w:hAnsi="宋体" w:eastAsia="Arial" w:cs="仿宋"/>
                <w:color w:val="auto"/>
                <w:sz w:val="24"/>
                <w:szCs w:val="24"/>
              </w:rPr>
              <w:t>数字化病案的图像清晰、无歪斜、打印清晰，每幅图像均有属性标注，病历索引数据与病历图像对应完全正确。</w:t>
            </w:r>
          </w:p>
          <w:p w14:paraId="514AC705">
            <w:pPr>
              <w:pStyle w:val="15"/>
              <w:keepNext w:val="0"/>
              <w:keepLines w:val="0"/>
              <w:pageBreakBefore w:val="0"/>
              <w:kinsoku/>
              <w:wordWrap/>
              <w:overflowPunct/>
              <w:autoSpaceDE/>
              <w:autoSpaceDN/>
              <w:bidi w:val="0"/>
              <w:snapToGrid w:val="0"/>
              <w:spacing w:beforeLines="0" w:afterLines="0" w:line="440" w:lineRule="exact"/>
              <w:ind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lang w:val="en-US" w:eastAsia="zh-CN"/>
              </w:rPr>
              <w:t>21.</w:t>
            </w:r>
            <w:r>
              <w:rPr>
                <w:rFonts w:hint="eastAsia" w:ascii="宋体" w:hAnsi="宋体" w:eastAsia="Arial" w:cs="仿宋"/>
                <w:color w:val="auto"/>
                <w:sz w:val="24"/>
                <w:szCs w:val="24"/>
              </w:rPr>
              <w:t>软件模块要求</w:t>
            </w:r>
          </w:p>
          <w:p w14:paraId="05BC4985">
            <w:pPr>
              <w:pStyle w:val="15"/>
              <w:keepNext w:val="0"/>
              <w:keepLines w:val="0"/>
              <w:pageBreakBefore w:val="0"/>
              <w:kinsoku/>
              <w:wordWrap/>
              <w:overflowPunct/>
              <w:autoSpaceDE/>
              <w:autoSpaceDN/>
              <w:bidi w:val="0"/>
              <w:snapToGrid w:val="0"/>
              <w:spacing w:beforeLines="0" w:afterLines="0" w:line="440" w:lineRule="exact"/>
              <w:ind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lang w:val="en-US" w:eastAsia="zh-CN"/>
              </w:rPr>
              <w:t>21.1</w:t>
            </w:r>
            <w:r>
              <w:rPr>
                <w:rFonts w:hint="eastAsia" w:ascii="宋体" w:hAnsi="宋体" w:eastAsia="Arial" w:cs="仿宋"/>
                <w:color w:val="auto"/>
                <w:sz w:val="24"/>
                <w:szCs w:val="24"/>
              </w:rPr>
              <w:t>权限管理模块</w:t>
            </w:r>
          </w:p>
          <w:p w14:paraId="75DFA33C">
            <w:pPr>
              <w:pStyle w:val="15"/>
              <w:keepNext w:val="0"/>
              <w:keepLines w:val="0"/>
              <w:pageBreakBefore w:val="0"/>
              <w:kinsoku/>
              <w:wordWrap/>
              <w:overflowPunct/>
              <w:autoSpaceDE/>
              <w:autoSpaceDN/>
              <w:bidi w:val="0"/>
              <w:snapToGrid w:val="0"/>
              <w:spacing w:beforeLines="0" w:afterLines="0" w:line="440" w:lineRule="exact"/>
              <w:ind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21.1.1</w:t>
            </w:r>
            <w:r>
              <w:rPr>
                <w:rFonts w:hint="eastAsia" w:ascii="宋体" w:hAnsi="宋体" w:eastAsia="Arial" w:cs="仿宋"/>
                <w:color w:val="auto"/>
                <w:sz w:val="24"/>
              </w:rPr>
              <w:t>用户管理：管理内部及外部用户的信息，可以对系统登录用户的信息进行查询/添加/修改/删除。</w:t>
            </w:r>
          </w:p>
          <w:p w14:paraId="6AAB13DE">
            <w:pPr>
              <w:keepNext w:val="0"/>
              <w:keepLines w:val="0"/>
              <w:pageBreakBefore w:val="0"/>
              <w:numPr>
                <w:ilvl w:val="1"/>
                <w:numId w:val="0"/>
              </w:numPr>
              <w:kinsoku/>
              <w:wordWrap/>
              <w:overflowPunct/>
              <w:autoSpaceDE/>
              <w:autoSpaceDN/>
              <w:bidi w:val="0"/>
              <w:snapToGrid w:val="0"/>
              <w:spacing w:line="440" w:lineRule="exact"/>
              <w:ind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21.1.2</w:t>
            </w:r>
            <w:r>
              <w:rPr>
                <w:rFonts w:hint="eastAsia" w:ascii="宋体" w:hAnsi="宋体" w:eastAsia="Arial" w:cs="仿宋"/>
                <w:color w:val="auto"/>
                <w:sz w:val="24"/>
              </w:rPr>
              <w:t>用户组管理：查询/添加/修改/删除用户组，并可设置人员所属的用户组。</w:t>
            </w:r>
          </w:p>
          <w:p w14:paraId="557D10AE">
            <w:pPr>
              <w:keepNext w:val="0"/>
              <w:keepLines w:val="0"/>
              <w:pageBreakBefore w:val="0"/>
              <w:numPr>
                <w:ilvl w:val="1"/>
                <w:numId w:val="0"/>
              </w:numPr>
              <w:kinsoku/>
              <w:wordWrap/>
              <w:overflowPunct/>
              <w:autoSpaceDE/>
              <w:autoSpaceDN/>
              <w:bidi w:val="0"/>
              <w:snapToGrid w:val="0"/>
              <w:spacing w:line="440" w:lineRule="exact"/>
              <w:ind w:left="900" w:leftChars="200" w:hanging="480" w:hanging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21.1.3</w:t>
            </w:r>
            <w:r>
              <w:rPr>
                <w:rFonts w:hint="eastAsia" w:ascii="宋体" w:hAnsi="宋体" w:eastAsia="Arial" w:cs="仿宋"/>
                <w:color w:val="auto"/>
                <w:sz w:val="24"/>
              </w:rPr>
              <w:t>用户组权限：设置用户组所拥有的系统功能的权限。</w:t>
            </w:r>
          </w:p>
          <w:p w14:paraId="62CD9D70">
            <w:pPr>
              <w:keepNext w:val="0"/>
              <w:keepLines w:val="0"/>
              <w:pageBreakBefore w:val="0"/>
              <w:numPr>
                <w:ilvl w:val="1"/>
                <w:numId w:val="0"/>
              </w:numPr>
              <w:kinsoku/>
              <w:wordWrap/>
              <w:overflowPunct/>
              <w:autoSpaceDE/>
              <w:autoSpaceDN/>
              <w:bidi w:val="0"/>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21.1.4</w:t>
            </w:r>
            <w:r>
              <w:rPr>
                <w:rFonts w:hint="eastAsia" w:ascii="宋体" w:hAnsi="宋体" w:eastAsia="Arial" w:cs="仿宋"/>
                <w:color w:val="auto"/>
                <w:sz w:val="24"/>
              </w:rPr>
              <w:t>科室管理：查询/添加/修改/删除科室信息，并可维护科室下包含的人员。</w:t>
            </w:r>
          </w:p>
          <w:p w14:paraId="42E1E372">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Arial" w:cs="仿宋"/>
                <w:color w:val="auto"/>
                <w:sz w:val="24"/>
              </w:rPr>
            </w:pPr>
            <w:r>
              <w:rPr>
                <w:rFonts w:hint="eastAsia" w:ascii="宋体" w:hAnsi="宋体" w:eastAsia="Arial" w:cs="仿宋"/>
                <w:color w:val="auto"/>
                <w:sz w:val="24"/>
                <w:lang w:val="en-US" w:eastAsia="zh-CN"/>
              </w:rPr>
              <w:t>21.1.5</w:t>
            </w:r>
            <w:r>
              <w:rPr>
                <w:rFonts w:hint="eastAsia" w:ascii="宋体" w:hAnsi="宋体" w:eastAsia="Arial" w:cs="仿宋"/>
                <w:color w:val="auto"/>
                <w:sz w:val="24"/>
              </w:rPr>
              <w:t>病案权限配置：配置病案浏览的权限（按用户及按用户组），可以按照用户的方式一个个地进行病案权限的配置，也可以按照用户组的方式进行整体分配（如直接将某个科室的病案分配给用户组），同时也可以设置病案图片医学分类的权限，可以分别设置病案的阅读，打印及导出的权限。</w:t>
            </w:r>
          </w:p>
          <w:p w14:paraId="5B5C4025">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21.1.6</w:t>
            </w:r>
            <w:r>
              <w:rPr>
                <w:rFonts w:hint="eastAsia" w:ascii="宋体" w:hAnsi="宋体" w:eastAsia="Arial" w:cs="仿宋"/>
                <w:color w:val="auto"/>
                <w:sz w:val="24"/>
              </w:rPr>
              <w:t>医学分类模板：设置病案图片的医学分类权限模板，在为病案分配权限时可以直接引用该模板，无需重复设置。</w:t>
            </w:r>
          </w:p>
          <w:p w14:paraId="635C18AE">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21.1.7</w:t>
            </w:r>
            <w:r>
              <w:rPr>
                <w:rFonts w:hint="eastAsia" w:ascii="宋体" w:hAnsi="宋体" w:eastAsia="Arial" w:cs="仿宋"/>
                <w:color w:val="auto"/>
                <w:sz w:val="24"/>
              </w:rPr>
              <w:t>访问权限控制：可以设置禁止访问的机器的IP，被禁止访问的IP对应的机器就无法使用本系统。</w:t>
            </w:r>
          </w:p>
          <w:p w14:paraId="75169394">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21.1.8</w:t>
            </w:r>
            <w:r>
              <w:rPr>
                <w:rFonts w:hint="eastAsia" w:ascii="宋体" w:hAnsi="宋体" w:eastAsia="Arial" w:cs="仿宋"/>
                <w:color w:val="auto"/>
                <w:sz w:val="24"/>
              </w:rPr>
              <w:t>显示字段控制：可以设置在浏览器中浏览病案时列表中所显示的字段。可以在用户级别和用户组级别上进行显示权限的控制。</w:t>
            </w:r>
          </w:p>
          <w:p w14:paraId="2BFF61C8">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21.1.9</w:t>
            </w:r>
            <w:r>
              <w:rPr>
                <w:rFonts w:hint="eastAsia" w:ascii="宋体" w:hAnsi="宋体" w:eastAsia="Arial" w:cs="仿宋"/>
                <w:color w:val="auto"/>
                <w:sz w:val="24"/>
              </w:rPr>
              <w:t>水印设置：可以制作在打印时叠加上去的水印，并且在打印病案的时候可以将其叠加到病案图片上。</w:t>
            </w:r>
          </w:p>
          <w:p w14:paraId="0CA341B5">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21.1.10</w:t>
            </w:r>
            <w:r>
              <w:rPr>
                <w:rFonts w:hint="eastAsia" w:ascii="宋体" w:hAnsi="宋体" w:eastAsia="Arial" w:cs="仿宋"/>
                <w:color w:val="auto"/>
                <w:sz w:val="24"/>
              </w:rPr>
              <w:t>病案锁定：可以将一些特殊的病案进行锁定，被锁定的病案将无法在浏览器中被查询到。</w:t>
            </w:r>
          </w:p>
          <w:p w14:paraId="2859607C">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21.1.11</w:t>
            </w:r>
            <w:r>
              <w:rPr>
                <w:rFonts w:hint="eastAsia" w:ascii="宋体" w:hAnsi="宋体" w:eastAsia="Arial" w:cs="仿宋"/>
                <w:color w:val="auto"/>
                <w:sz w:val="24"/>
              </w:rPr>
              <w:t>病案申请审批：对浏览器中提交过来的病案阅读申请进行审批，可以为申请的病案设定阅读的时限等。</w:t>
            </w:r>
          </w:p>
          <w:p w14:paraId="1B9655D4">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21.1.12</w:t>
            </w:r>
            <w:r>
              <w:rPr>
                <w:rFonts w:hint="eastAsia" w:ascii="宋体" w:hAnsi="宋体" w:eastAsia="Arial" w:cs="仿宋"/>
                <w:color w:val="auto"/>
                <w:sz w:val="24"/>
              </w:rPr>
              <w:t>监控中心：查看各个系统的用户的使用的情况，至少包括：用户是否在前，用户有申请需要审批，用户的浏览病案的历史情况，用户权限。</w:t>
            </w:r>
          </w:p>
          <w:p w14:paraId="625D52FC">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21.1.13</w:t>
            </w:r>
            <w:r>
              <w:rPr>
                <w:rFonts w:hint="eastAsia" w:ascii="宋体" w:hAnsi="宋体" w:eastAsia="Arial" w:cs="仿宋"/>
                <w:color w:val="auto"/>
                <w:sz w:val="24"/>
              </w:rPr>
              <w:t>病案错误报告：处理病案浏览器上用户反馈上来的病案错误（如：图片缺页/分类错误）。</w:t>
            </w:r>
          </w:p>
          <w:p w14:paraId="52D6BAAD">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21.1.14</w:t>
            </w:r>
            <w:r>
              <w:rPr>
                <w:rFonts w:hint="eastAsia" w:ascii="宋体" w:hAnsi="宋体" w:eastAsia="Arial" w:cs="仿宋"/>
                <w:color w:val="auto"/>
                <w:sz w:val="24"/>
              </w:rPr>
              <w:t>病案定位：查询病案在库房中的位置，可按病人姓名，病案号，出院日期，条码号，打包号，库房号或库位名查询，并生成统计报表。</w:t>
            </w:r>
          </w:p>
          <w:p w14:paraId="7713A262">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21.1.15</w:t>
            </w:r>
            <w:r>
              <w:rPr>
                <w:rFonts w:hint="eastAsia" w:ascii="宋体" w:hAnsi="宋体" w:eastAsia="Arial" w:cs="仿宋"/>
                <w:color w:val="auto"/>
                <w:sz w:val="24"/>
              </w:rPr>
              <w:t>病案导出：可以将选择好病案进行打包压缩导出，配合相应的浏览工具可在离线的环境下浏览。</w:t>
            </w:r>
          </w:p>
          <w:p w14:paraId="58BBA3D7">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21.1.16</w:t>
            </w:r>
            <w:r>
              <w:rPr>
                <w:rFonts w:hint="eastAsia" w:ascii="宋体" w:hAnsi="宋体" w:eastAsia="Arial" w:cs="仿宋"/>
                <w:color w:val="auto"/>
                <w:sz w:val="24"/>
              </w:rPr>
              <w:t>随访项目审批：审批随访工作站提交上来的项目申请。</w:t>
            </w:r>
          </w:p>
          <w:p w14:paraId="03A144A5">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21.1.17</w:t>
            </w:r>
            <w:r>
              <w:rPr>
                <w:rFonts w:hint="eastAsia" w:ascii="宋体" w:hAnsi="宋体" w:eastAsia="Arial" w:cs="仿宋"/>
                <w:color w:val="auto"/>
                <w:sz w:val="24"/>
              </w:rPr>
              <w:t>病案浏览统计：可查询用户、科室在某一时间段内数字化病案使用情况，并生成统计报表。</w:t>
            </w:r>
          </w:p>
          <w:p w14:paraId="7C133A51">
            <w:pPr>
              <w:pStyle w:val="15"/>
              <w:keepNext w:val="0"/>
              <w:keepLines w:val="0"/>
              <w:pageBreakBefore w:val="0"/>
              <w:widowControl w:val="0"/>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宋体" w:eastAsia="Arial" w:cs="仿宋"/>
                <w:color w:val="auto"/>
                <w:sz w:val="24"/>
                <w:szCs w:val="24"/>
                <w:lang w:val="en-US" w:eastAsia="zh-CN"/>
              </w:rPr>
              <w:t>21.2</w:t>
            </w:r>
            <w:r>
              <w:rPr>
                <w:rFonts w:hint="eastAsia" w:ascii="宋体" w:hAnsi="宋体" w:eastAsia="Arial" w:cs="仿宋"/>
                <w:color w:val="auto"/>
                <w:sz w:val="24"/>
                <w:szCs w:val="24"/>
              </w:rPr>
              <w:t>检索模块</w:t>
            </w:r>
          </w:p>
          <w:p w14:paraId="024DCE96">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szCs w:val="24"/>
                <w:lang w:val="en-US" w:eastAsia="zh-CN"/>
              </w:rPr>
              <w:t>21.2.1</w:t>
            </w:r>
            <w:r>
              <w:rPr>
                <w:rFonts w:hint="eastAsia" w:ascii="宋体" w:hAnsi="宋体" w:eastAsia="Arial" w:cs="仿宋"/>
                <w:color w:val="auto"/>
                <w:sz w:val="24"/>
              </w:rPr>
              <w:t>关键词搜索：一个简洁的搜索方式，类似Google的搜索方式。可以选择搜索分类（病案号/疾病/手术/科室/病人姓名/医生），多关键词搜索（可以填写多个搜索关键词及指定关键词之间的关系），精确与模糊的搜索方式。</w:t>
            </w:r>
          </w:p>
          <w:p w14:paraId="46DA31AB">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szCs w:val="24"/>
                <w:lang w:val="en-US" w:eastAsia="zh-CN"/>
              </w:rPr>
              <w:t>21.2.2</w:t>
            </w:r>
            <w:r>
              <w:rPr>
                <w:rFonts w:hint="eastAsia" w:ascii="宋体" w:hAnsi="宋体" w:eastAsia="Arial" w:cs="仿宋"/>
                <w:color w:val="auto"/>
                <w:sz w:val="24"/>
              </w:rPr>
              <w:t>高级搜索：可以按照列出的各种查询条件对病案进行查询，这种检索方式常用于检索条件比较多的情况下。</w:t>
            </w:r>
          </w:p>
          <w:p w14:paraId="07F55331">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szCs w:val="24"/>
                <w:lang w:val="en-US" w:eastAsia="zh-CN"/>
              </w:rPr>
              <w:t>21.2.3</w:t>
            </w:r>
            <w:r>
              <w:rPr>
                <w:rFonts w:hint="eastAsia" w:ascii="宋体" w:hAnsi="宋体" w:eastAsia="Arial" w:cs="仿宋"/>
                <w:color w:val="auto"/>
                <w:sz w:val="24"/>
              </w:rPr>
              <w:t>自定义搜索：可以自定义组织查询条件的组合进行搜索。这种检索方式常用于需检索的条件比较复杂的情况下。</w:t>
            </w:r>
          </w:p>
          <w:p w14:paraId="682DDA81">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szCs w:val="24"/>
                <w:lang w:val="en-US" w:eastAsia="zh-CN"/>
              </w:rPr>
              <w:t>21.2.4</w:t>
            </w:r>
            <w:r>
              <w:rPr>
                <w:rFonts w:hint="eastAsia" w:ascii="宋体" w:hAnsi="宋体" w:eastAsia="Arial" w:cs="仿宋"/>
                <w:color w:val="auto"/>
                <w:sz w:val="24"/>
              </w:rPr>
              <w:t>经典搜索：传统的检索方式，左边是检索条件右边是检索结果。在检索时还可设定病案图片的医学分类，以便在查看病案图片时过滤掉无需查看的图片。</w:t>
            </w:r>
          </w:p>
          <w:p w14:paraId="16DED417">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szCs w:val="24"/>
                <w:lang w:val="en-US" w:eastAsia="zh-CN"/>
              </w:rPr>
              <w:t>21.2.5</w:t>
            </w:r>
            <w:r>
              <w:rPr>
                <w:rFonts w:hint="eastAsia" w:ascii="宋体" w:hAnsi="宋体" w:eastAsia="Arial" w:cs="仿宋"/>
                <w:color w:val="auto"/>
                <w:sz w:val="24"/>
              </w:rPr>
              <w:t>病案搜索结果：拥有两种显示结果的模式：列表方式与自由布局方式。列表方式为最常见的一行一行的显示，自由布局方式为卡片时效果，一份病案即一张卡片，显示效果清晰。</w:t>
            </w:r>
          </w:p>
          <w:p w14:paraId="44CC2EE2">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szCs w:val="24"/>
                <w:lang w:val="en-US" w:eastAsia="zh-CN"/>
              </w:rPr>
              <w:t>21.2.6</w:t>
            </w:r>
            <w:r>
              <w:rPr>
                <w:rFonts w:hint="eastAsia" w:ascii="宋体" w:hAnsi="宋体" w:eastAsia="Arial" w:cs="仿宋"/>
                <w:color w:val="auto"/>
                <w:sz w:val="24"/>
              </w:rPr>
              <w:t>病案图片浏览：对病案图片的浏览进行了严格的权限控制（阅读/打印/导出）。可以设置需要过滤的图片分类（例如只显示病案首页或病程录），查看病案图片的同时可利用提供的‘浏览工具箱’对图片进行一系列的处理（如放大/缩小/全屏/黑白彩色切换/裁剪/打印）。浏览期间可对感兴趣的病案收藏到收藏夹并且可以填写笔记。显示病案图片时可以设置阅读水印，用于病案的保护。</w:t>
            </w:r>
          </w:p>
          <w:p w14:paraId="7BD36BC2">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szCs w:val="24"/>
                <w:lang w:val="en-US" w:eastAsia="zh-CN"/>
              </w:rPr>
              <w:t>21.2.7</w:t>
            </w:r>
            <w:r>
              <w:rPr>
                <w:rFonts w:hint="eastAsia" w:ascii="宋体" w:hAnsi="宋体" w:eastAsia="Arial" w:cs="仿宋"/>
                <w:color w:val="auto"/>
                <w:sz w:val="24"/>
              </w:rPr>
              <w:t>病案收藏夹：用于显示及搜索在浏览病案时收藏的病案并且可以显示当时记录的病案笔记，类似IE浏览器的网页收藏夹。</w:t>
            </w:r>
          </w:p>
          <w:p w14:paraId="704C2B46">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szCs w:val="24"/>
                <w:lang w:val="en-US" w:eastAsia="zh-CN"/>
              </w:rPr>
              <w:t>21.2.</w:t>
            </w:r>
            <w:r>
              <w:rPr>
                <w:rFonts w:ascii="宋体" w:hAnsi="宋体" w:eastAsia="Arial" w:cs="仿宋"/>
                <w:color w:val="auto"/>
                <w:kern w:val="2"/>
                <w:sz w:val="24"/>
                <w:szCs w:val="24"/>
                <w:lang w:val="en-US" w:eastAsia="zh-CN" w:bidi="ar-SA"/>
              </w:rPr>
              <w:t>8</w:t>
            </w:r>
            <w:r>
              <w:rPr>
                <w:rFonts w:hint="eastAsia" w:ascii="宋体" w:hAnsi="宋体" w:eastAsia="Arial" w:cs="仿宋"/>
                <w:color w:val="auto"/>
                <w:sz w:val="24"/>
              </w:rPr>
              <w:t>申请查看：可以浏览并查询用户曾经申请过的需要查阅的病案的记录，及时了解审批情况。</w:t>
            </w:r>
          </w:p>
          <w:p w14:paraId="4CC03065">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szCs w:val="24"/>
                <w:lang w:val="en-US" w:eastAsia="zh-CN"/>
              </w:rPr>
              <w:t>21.2.</w:t>
            </w:r>
            <w:r>
              <w:rPr>
                <w:rFonts w:ascii="宋体" w:hAnsi="宋体" w:eastAsia="Arial" w:cs="仿宋"/>
                <w:color w:val="auto"/>
                <w:kern w:val="2"/>
                <w:sz w:val="24"/>
                <w:szCs w:val="24"/>
                <w:lang w:val="en-US" w:eastAsia="zh-CN" w:bidi="ar-SA"/>
              </w:rPr>
              <w:t>9</w:t>
            </w:r>
            <w:r>
              <w:rPr>
                <w:rFonts w:hint="eastAsia" w:ascii="宋体" w:hAnsi="宋体" w:eastAsia="Arial" w:cs="仿宋"/>
                <w:color w:val="auto"/>
                <w:sz w:val="24"/>
              </w:rPr>
              <w:t>浏览历史：查询用户曾经浏览过的病案记录，类似IE浏览器的历史记录，可以方便用户查看以往浏览过的病案，而无须再一次搜索。</w:t>
            </w:r>
          </w:p>
          <w:p w14:paraId="0930F1BA">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szCs w:val="24"/>
                <w:lang w:val="en-US" w:eastAsia="zh-CN"/>
              </w:rPr>
              <w:t>21.2.</w:t>
            </w:r>
            <w:r>
              <w:rPr>
                <w:rFonts w:ascii="宋体" w:hAnsi="宋体" w:eastAsia="Arial" w:cs="仿宋"/>
                <w:color w:val="auto"/>
                <w:kern w:val="2"/>
                <w:sz w:val="24"/>
                <w:szCs w:val="24"/>
                <w:lang w:val="en-US" w:eastAsia="zh-CN" w:bidi="ar-SA"/>
              </w:rPr>
              <w:t>10</w:t>
            </w:r>
            <w:r>
              <w:rPr>
                <w:rFonts w:hint="eastAsia" w:ascii="宋体" w:hAnsi="宋体" w:eastAsia="Arial" w:cs="仿宋"/>
                <w:color w:val="auto"/>
                <w:sz w:val="24"/>
              </w:rPr>
              <w:t>个性化设置：可以按照用户个人的喜好设置一些系统设置，如：首页显示（进入系统后显示的第一个界面），浏览结果的显示方式（检索结果每页显示的条数/检索结果排列的方式），医学分类的设置（用于在浏览图片时预先过滤无需查看的病案），病案图片打印的设置（纸张/水印）。</w:t>
            </w:r>
          </w:p>
          <w:p w14:paraId="24429AC6">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kern w:val="2"/>
                <w:sz w:val="24"/>
                <w:szCs w:val="24"/>
                <w:lang w:val="en-US" w:eastAsia="zh-CN" w:bidi="ar-SA"/>
              </w:rPr>
            </w:pPr>
            <w:r>
              <w:rPr>
                <w:rFonts w:hint="eastAsia" w:ascii="宋体" w:hAnsi="宋体" w:eastAsia="Arial" w:cs="仿宋"/>
                <w:color w:val="auto"/>
                <w:kern w:val="2"/>
                <w:sz w:val="24"/>
                <w:szCs w:val="24"/>
                <w:lang w:val="en-US" w:eastAsia="zh-CN" w:bidi="ar-SA"/>
              </w:rPr>
              <w:t>21.3打印模块</w:t>
            </w:r>
          </w:p>
          <w:p w14:paraId="501A7D3F">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Arial" w:cs="仿宋"/>
                <w:color w:val="auto"/>
                <w:sz w:val="24"/>
              </w:rPr>
            </w:pPr>
            <w:r>
              <w:rPr>
                <w:rFonts w:hint="eastAsia" w:ascii="宋体" w:hAnsi="宋体" w:eastAsia="Arial" w:cs="仿宋"/>
                <w:color w:val="auto"/>
                <w:kern w:val="2"/>
                <w:sz w:val="24"/>
                <w:szCs w:val="24"/>
                <w:lang w:val="en-US" w:eastAsia="zh-CN" w:bidi="ar-SA"/>
              </w:rPr>
              <w:t>21.3.1</w:t>
            </w:r>
            <w:r>
              <w:rPr>
                <w:rFonts w:hint="eastAsia" w:ascii="宋体" w:hAnsi="宋体" w:eastAsia="Arial" w:cs="仿宋"/>
                <w:color w:val="auto"/>
                <w:sz w:val="24"/>
              </w:rPr>
              <w:t>打印申请：维护申请打印人员的信息及申请分类（打印或复印），可拍摄证件并归档保存，查询并选择需打印的病案，同时统计所需费用，并可自己调整实际收费。</w:t>
            </w:r>
          </w:p>
          <w:p w14:paraId="3B4ADBF3">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lang w:val="en-US" w:eastAsia="zh-CN"/>
              </w:rPr>
              <w:t>21.</w:t>
            </w:r>
            <w:r>
              <w:rPr>
                <w:rFonts w:hint="eastAsia" w:ascii="宋体" w:hAnsi="宋体" w:eastAsia="Arial" w:cs="仿宋"/>
                <w:color w:val="auto"/>
                <w:kern w:val="2"/>
                <w:sz w:val="24"/>
                <w:szCs w:val="24"/>
                <w:lang w:val="en-US" w:eastAsia="zh-CN" w:bidi="ar-SA"/>
              </w:rPr>
              <w:t>3.2</w:t>
            </w:r>
            <w:r>
              <w:rPr>
                <w:rFonts w:hint="eastAsia" w:ascii="宋体" w:hAnsi="宋体" w:eastAsia="Arial" w:cs="仿宋"/>
                <w:color w:val="auto"/>
                <w:sz w:val="24"/>
              </w:rPr>
              <w:t>快速打印：仅登记简单的打印申请信息，选择病案直接打印。</w:t>
            </w:r>
          </w:p>
          <w:p w14:paraId="0424E4BD">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21.3.3</w:t>
            </w:r>
            <w:r>
              <w:rPr>
                <w:rFonts w:hint="eastAsia" w:ascii="宋体" w:hAnsi="宋体" w:eastAsia="Arial" w:cs="仿宋"/>
                <w:color w:val="auto"/>
                <w:sz w:val="24"/>
              </w:rPr>
              <w:t>集中打印：未打印过的病案可以统一处理，按照申请人的记录完成打印任务。</w:t>
            </w:r>
          </w:p>
          <w:p w14:paraId="0AB20073">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sz w:val="24"/>
                <w:szCs w:val="24"/>
                <w:lang w:val="en-US" w:eastAsia="zh-CN"/>
              </w:rPr>
              <w:t>21.</w:t>
            </w:r>
            <w:r>
              <w:rPr>
                <w:rFonts w:hint="eastAsia" w:ascii="宋体" w:hAnsi="宋体" w:eastAsia="Arial" w:cs="仿宋"/>
                <w:color w:val="auto"/>
                <w:kern w:val="2"/>
                <w:sz w:val="24"/>
                <w:szCs w:val="24"/>
                <w:lang w:val="en-US" w:eastAsia="zh-CN" w:bidi="ar-SA"/>
              </w:rPr>
              <w:t>3.4</w:t>
            </w:r>
            <w:r>
              <w:rPr>
                <w:rFonts w:hint="eastAsia" w:ascii="宋体" w:hAnsi="宋体" w:eastAsia="Arial" w:cs="仿宋"/>
                <w:color w:val="auto"/>
                <w:sz w:val="24"/>
              </w:rPr>
              <w:t>集中复印：对未复印的病案进行集中统一处理。</w:t>
            </w:r>
          </w:p>
          <w:p w14:paraId="5BF9882A">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21.3.5</w:t>
            </w:r>
            <w:r>
              <w:rPr>
                <w:rFonts w:hint="eastAsia" w:ascii="宋体" w:hAnsi="宋体" w:eastAsia="Arial" w:cs="仿宋"/>
                <w:color w:val="auto"/>
                <w:sz w:val="24"/>
              </w:rPr>
              <w:t>申请查询：查询申请过打印或复印的申请人信息，并可查看申请人相应的申请信息，证件照，打印的病案记录，费用。</w:t>
            </w:r>
          </w:p>
          <w:p w14:paraId="6F0F9795">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21.3.6</w:t>
            </w:r>
            <w:r>
              <w:rPr>
                <w:rFonts w:hint="eastAsia" w:ascii="宋体" w:hAnsi="宋体" w:eastAsia="Arial" w:cs="仿宋"/>
                <w:color w:val="auto"/>
                <w:sz w:val="24"/>
              </w:rPr>
              <w:t>打印参数：设置默认的打印参数（纸张大小/图片色彩/打印份数/打印分类及顺序/收费模式）</w:t>
            </w:r>
          </w:p>
          <w:p w14:paraId="67957D64">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21.3.7</w:t>
            </w:r>
            <w:r>
              <w:rPr>
                <w:rFonts w:hint="eastAsia" w:ascii="宋体" w:hAnsi="宋体" w:eastAsia="Arial" w:cs="仿宋"/>
                <w:color w:val="auto"/>
                <w:sz w:val="24"/>
              </w:rPr>
              <w:t>打印明细：按时间段及申请人统计申请人打印的病案的明细记录。</w:t>
            </w:r>
          </w:p>
          <w:p w14:paraId="7131C390">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21.3.8</w:t>
            </w:r>
            <w:r>
              <w:rPr>
                <w:rFonts w:hint="eastAsia" w:ascii="宋体" w:hAnsi="宋体" w:eastAsia="Arial" w:cs="仿宋"/>
                <w:color w:val="auto"/>
                <w:sz w:val="24"/>
              </w:rPr>
              <w:t>复印明细：按时段及申请人统计申请人复印的病案的明细记录。</w:t>
            </w:r>
          </w:p>
          <w:p w14:paraId="0209CB3F">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21.3.9</w:t>
            </w:r>
            <w:r>
              <w:rPr>
                <w:rFonts w:hint="eastAsia" w:ascii="宋体" w:hAnsi="宋体" w:eastAsia="Arial" w:cs="仿宋"/>
                <w:color w:val="auto"/>
                <w:sz w:val="24"/>
              </w:rPr>
              <w:t>邮寄明细：按时间段、申请人及邮寄状态统计病案邮寄的明细记录。</w:t>
            </w:r>
          </w:p>
          <w:p w14:paraId="4A67CB04">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Arial" w:cs="仿宋"/>
                <w:color w:val="auto"/>
                <w:kern w:val="2"/>
                <w:sz w:val="24"/>
                <w:szCs w:val="24"/>
                <w:lang w:val="en-US" w:eastAsia="zh-CN" w:bidi="ar-SA"/>
              </w:rPr>
            </w:pPr>
            <w:r>
              <w:rPr>
                <w:rFonts w:hint="eastAsia" w:ascii="宋体" w:hAnsi="宋体" w:eastAsia="Arial" w:cs="仿宋"/>
                <w:color w:val="auto"/>
                <w:kern w:val="2"/>
                <w:sz w:val="24"/>
                <w:szCs w:val="24"/>
                <w:lang w:val="en-US" w:eastAsia="zh-CN" w:bidi="ar-SA"/>
              </w:rPr>
              <w:t>21.4科研模块</w:t>
            </w:r>
          </w:p>
          <w:p w14:paraId="685F97EA">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21.4.1</w:t>
            </w:r>
            <w:r>
              <w:rPr>
                <w:rFonts w:hint="eastAsia" w:ascii="宋体" w:hAnsi="宋体" w:eastAsia="Arial" w:cs="仿宋"/>
                <w:color w:val="auto"/>
                <w:sz w:val="24"/>
              </w:rPr>
              <w:t>科研项目管理：维护科研项目的基本信息，如课题编号、课题名称、课题说明以及费用等。</w:t>
            </w:r>
          </w:p>
          <w:p w14:paraId="18D611CC">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21.4.2</w:t>
            </w:r>
            <w:r>
              <w:rPr>
                <w:rFonts w:hint="eastAsia" w:ascii="宋体" w:hAnsi="宋体" w:eastAsia="Arial" w:cs="仿宋"/>
                <w:color w:val="auto"/>
                <w:sz w:val="24"/>
              </w:rPr>
              <w:t>科研模板：根据不同需要，用户可自行设计并制作科研模板，生成科研记录表，以供病案科研使用。</w:t>
            </w:r>
          </w:p>
          <w:p w14:paraId="41EC1A15">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21.4.3</w:t>
            </w:r>
            <w:r>
              <w:rPr>
                <w:rFonts w:hint="eastAsia" w:ascii="宋体" w:hAnsi="宋体" w:eastAsia="Arial" w:cs="仿宋"/>
                <w:color w:val="auto"/>
                <w:sz w:val="24"/>
              </w:rPr>
              <w:t>病案科研：浏览当前项目中研究库内的所有病案，并在科研记录表中填写相关数据。</w:t>
            </w:r>
          </w:p>
          <w:p w14:paraId="33F9F2ED">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21.4.4</w:t>
            </w:r>
            <w:r>
              <w:rPr>
                <w:rFonts w:hint="eastAsia" w:ascii="宋体" w:hAnsi="宋体" w:eastAsia="Arial" w:cs="仿宋"/>
                <w:color w:val="auto"/>
                <w:sz w:val="24"/>
              </w:rPr>
              <w:t>科研研究库：根据条件，查询出所需研究的病案，加入研究库，以供病案科研使用。</w:t>
            </w:r>
          </w:p>
          <w:p w14:paraId="4CE056A9">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21.4.5</w:t>
            </w:r>
            <w:r>
              <w:rPr>
                <w:rFonts w:hint="eastAsia" w:ascii="宋体" w:hAnsi="宋体" w:eastAsia="Arial" w:cs="仿宋"/>
                <w:color w:val="auto"/>
                <w:sz w:val="24"/>
              </w:rPr>
              <w:t>科研记录：查阅每份病案所对应的记录表。</w:t>
            </w:r>
          </w:p>
          <w:p w14:paraId="348398D2">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21.4.6</w:t>
            </w:r>
            <w:r>
              <w:rPr>
                <w:rFonts w:hint="eastAsia" w:ascii="宋体" w:hAnsi="宋体" w:eastAsia="Arial" w:cs="仿宋"/>
                <w:color w:val="auto"/>
                <w:sz w:val="24"/>
              </w:rPr>
              <w:t>数据导出：导出当前科研项目中各项记录的数据，生成xls格式的文档用于导入SPSS等软件进行建模。</w:t>
            </w:r>
          </w:p>
          <w:p w14:paraId="00685399">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Arial" w:cs="仿宋"/>
                <w:color w:val="auto"/>
                <w:kern w:val="2"/>
                <w:sz w:val="24"/>
                <w:szCs w:val="24"/>
                <w:lang w:val="en-US" w:eastAsia="zh-CN" w:bidi="ar-SA"/>
              </w:rPr>
            </w:pPr>
            <w:r>
              <w:rPr>
                <w:rFonts w:hint="eastAsia" w:ascii="宋体" w:hAnsi="宋体" w:eastAsia="Arial" w:cs="仿宋"/>
                <w:color w:val="auto"/>
                <w:kern w:val="2"/>
                <w:sz w:val="24"/>
                <w:szCs w:val="24"/>
                <w:lang w:val="en-US" w:eastAsia="zh-CN" w:bidi="ar-SA"/>
              </w:rPr>
              <w:t>21.5随访模块</w:t>
            </w:r>
          </w:p>
          <w:p w14:paraId="30CF572E">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21.5.1</w:t>
            </w:r>
            <w:r>
              <w:rPr>
                <w:rFonts w:hint="eastAsia" w:ascii="宋体" w:hAnsi="宋体" w:eastAsia="Arial" w:cs="仿宋"/>
                <w:color w:val="auto"/>
                <w:sz w:val="24"/>
              </w:rPr>
              <w:t>随访项目管理：维护随访项目的基本信息，如负责人、总次数、开始、结束时间、相关科室等。</w:t>
            </w:r>
          </w:p>
          <w:p w14:paraId="59249902">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21.5.2</w:t>
            </w:r>
            <w:r>
              <w:rPr>
                <w:rFonts w:hint="eastAsia" w:ascii="宋体" w:hAnsi="宋体" w:eastAsia="Arial" w:cs="仿宋"/>
                <w:color w:val="auto"/>
                <w:sz w:val="24"/>
              </w:rPr>
              <w:t>随访问卷：根据不同需要，用户可自行设计并制作随访的问卷，更可导入已有的随访问卷，加以修改，生成新的随访问卷。问卷题型分为三种：选择题，问答题，填空题。</w:t>
            </w:r>
          </w:p>
          <w:p w14:paraId="248A6CC4">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21.5.3</w:t>
            </w:r>
            <w:r>
              <w:rPr>
                <w:rFonts w:hint="eastAsia" w:ascii="宋体" w:hAnsi="宋体" w:eastAsia="Arial" w:cs="仿宋"/>
                <w:color w:val="auto"/>
                <w:sz w:val="24"/>
              </w:rPr>
              <w:t>随访规则：根据当前随访的要求，制定随访规则，自动获取符合规则的所需要进行随访的患者。</w:t>
            </w:r>
          </w:p>
          <w:p w14:paraId="7526B3DF">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21.5.4</w:t>
            </w:r>
            <w:r>
              <w:rPr>
                <w:rFonts w:hint="eastAsia" w:ascii="宋体" w:hAnsi="宋体" w:eastAsia="Arial" w:cs="仿宋"/>
                <w:color w:val="auto"/>
                <w:sz w:val="24"/>
              </w:rPr>
              <w:t>样本数据：按条件查询出符合记录，获取当前随访所需要进行随访的患者。</w:t>
            </w:r>
          </w:p>
          <w:p w14:paraId="79F2F51B">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21.5.5</w:t>
            </w:r>
            <w:r>
              <w:rPr>
                <w:rFonts w:hint="eastAsia" w:ascii="宋体" w:hAnsi="宋体" w:eastAsia="Arial" w:cs="仿宋"/>
                <w:color w:val="auto"/>
                <w:sz w:val="24"/>
              </w:rPr>
              <w:t>电话随访：用电话对患者进行随访，通过回放电话录音填写随访问卷。</w:t>
            </w:r>
          </w:p>
          <w:p w14:paraId="46BBF663">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21.5.6</w:t>
            </w:r>
            <w:r>
              <w:rPr>
                <w:rFonts w:hint="eastAsia" w:ascii="宋体" w:hAnsi="宋体" w:eastAsia="Arial" w:cs="仿宋"/>
                <w:color w:val="auto"/>
                <w:sz w:val="24"/>
              </w:rPr>
              <w:t>信件随访：对患者进行信件随访，可打印信件的标签，打印随访的信件，保存随访的结果。随访记录：查看当前随访项目中，每位患者的随访记录。</w:t>
            </w:r>
          </w:p>
          <w:p w14:paraId="7F2F5727">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21.5.7</w:t>
            </w:r>
            <w:r>
              <w:rPr>
                <w:rFonts w:hint="eastAsia" w:ascii="宋体" w:hAnsi="宋体" w:eastAsia="Arial" w:cs="仿宋"/>
                <w:color w:val="auto"/>
                <w:sz w:val="24"/>
              </w:rPr>
              <w:t>费用统计：添加相关的费用，统计出当前随访项目所产生的费用。</w:t>
            </w:r>
          </w:p>
          <w:p w14:paraId="147CD21D">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21.5.8</w:t>
            </w:r>
            <w:r>
              <w:rPr>
                <w:rFonts w:hint="eastAsia" w:ascii="宋体" w:hAnsi="宋体" w:eastAsia="Arial" w:cs="仿宋"/>
                <w:color w:val="auto"/>
                <w:sz w:val="24"/>
              </w:rPr>
              <w:t>数据导出：导出当前随访项目中各项记录的数据。</w:t>
            </w:r>
          </w:p>
          <w:p w14:paraId="3F521C8A">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eastAsia="Arial" w:cs="仿宋"/>
                <w:color w:val="auto"/>
                <w:sz w:val="24"/>
              </w:rPr>
            </w:pPr>
            <w:r>
              <w:rPr>
                <w:rFonts w:hint="eastAsia" w:ascii="宋体" w:hAnsi="宋体" w:eastAsia="Arial" w:cs="仿宋"/>
                <w:color w:val="auto"/>
                <w:kern w:val="2"/>
                <w:sz w:val="24"/>
                <w:szCs w:val="24"/>
                <w:lang w:val="en-US" w:eastAsia="zh-CN" w:bidi="ar-SA"/>
              </w:rPr>
              <w:t>21.5.9</w:t>
            </w:r>
            <w:r>
              <w:rPr>
                <w:rFonts w:hint="eastAsia" w:ascii="宋体" w:hAnsi="宋体" w:eastAsia="Arial" w:cs="仿宋"/>
                <w:color w:val="auto"/>
                <w:sz w:val="24"/>
              </w:rPr>
              <w:t>随访统计：统计当前随访项目中随访问卷中每一项目的值，计算百分比例。</w:t>
            </w:r>
          </w:p>
          <w:p w14:paraId="7AAF3965">
            <w:pPr>
              <w:keepNext w:val="0"/>
              <w:keepLines w:val="0"/>
              <w:pageBreakBefore w:val="0"/>
              <w:widowControl w:val="0"/>
              <w:numPr>
                <w:ilvl w:val="1"/>
                <w:numId w:val="0"/>
              </w:numPr>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Arial" w:cs="仿宋"/>
                <w:color w:val="auto"/>
                <w:sz w:val="24"/>
              </w:rPr>
            </w:pPr>
            <w:r>
              <w:rPr>
                <w:rFonts w:hint="eastAsia" w:ascii="宋体" w:hAnsi="宋体" w:eastAsia="Arial" w:cs="仿宋"/>
                <w:color w:val="auto"/>
                <w:sz w:val="24"/>
                <w:lang w:val="en-US" w:eastAsia="zh-CN"/>
              </w:rPr>
              <w:t>22.</w:t>
            </w:r>
            <w:r>
              <w:rPr>
                <w:rFonts w:hint="eastAsia" w:ascii="宋体" w:hAnsi="宋体" w:eastAsia="Arial" w:cs="仿宋"/>
                <w:color w:val="auto"/>
                <w:sz w:val="24"/>
              </w:rPr>
              <w:t>系统接口要求</w:t>
            </w:r>
          </w:p>
          <w:p w14:paraId="161ED4E5">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Wingdings" w:eastAsia="Arial" w:cs="仿宋"/>
                <w:color w:val="auto"/>
                <w:kern w:val="2"/>
                <w:sz w:val="24"/>
                <w:szCs w:val="24"/>
                <w:lang w:val="en-US" w:eastAsia="zh-CN" w:bidi="ar-SA"/>
              </w:rPr>
              <w:t>22.1</w:t>
            </w:r>
            <w:r>
              <w:rPr>
                <w:rFonts w:hint="eastAsia" w:ascii="宋体" w:hAnsi="宋体" w:eastAsia="Arial" w:cs="仿宋"/>
                <w:color w:val="auto"/>
                <w:sz w:val="24"/>
                <w:szCs w:val="24"/>
              </w:rPr>
              <w:t>病案首页系统接口：可导入已有的病案首页信息；</w:t>
            </w:r>
          </w:p>
          <w:p w14:paraId="0B5BD260">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val="0"/>
              <w:spacing w:beforeLines="0" w:afterLines="0" w:line="440" w:lineRule="exact"/>
              <w:ind w:left="0" w:leftChars="0" w:firstLine="480" w:firstLineChars="200"/>
              <w:jc w:val="left"/>
              <w:textAlignment w:val="auto"/>
              <w:rPr>
                <w:rFonts w:hint="eastAsia" w:ascii="宋体" w:hAnsi="宋体" w:eastAsia="Arial" w:cs="仿宋"/>
                <w:color w:val="auto"/>
                <w:sz w:val="24"/>
                <w:szCs w:val="24"/>
              </w:rPr>
            </w:pPr>
            <w:r>
              <w:rPr>
                <w:rFonts w:hint="eastAsia" w:ascii="宋体" w:hAnsi="Wingdings" w:eastAsia="Arial" w:cs="宋体"/>
                <w:color w:val="auto"/>
                <w:kern w:val="2"/>
                <w:sz w:val="24"/>
                <w:szCs w:val="20"/>
                <w:lang w:val="en-US" w:eastAsia="zh-CN" w:bidi="ar-SA"/>
              </w:rPr>
              <w:t>22.2</w:t>
            </w:r>
            <w:r>
              <w:rPr>
                <w:rFonts w:hint="eastAsia" w:ascii="宋体" w:hAnsi="宋体" w:eastAsia="Arial" w:cs="仿宋"/>
                <w:color w:val="auto"/>
                <w:sz w:val="24"/>
                <w:szCs w:val="24"/>
              </w:rPr>
              <w:t>数字化病案调用接口：提供B/S形式或C/S形式的接口，方便电子病历系统等工作站调用。</w:t>
            </w:r>
          </w:p>
          <w:p w14:paraId="3E86A258">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p>
        </w:tc>
      </w:tr>
      <w:tr w14:paraId="0AE5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A9C7">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2</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1C12">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病案数字化高速加工设备</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E4EA">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7748">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套</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BE6E">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firstLine="480" w:firstLineChars="200"/>
              <w:textAlignment w:val="auto"/>
              <w:rPr>
                <w:rFonts w:hint="eastAsia" w:ascii="宋体" w:hAnsi="宋体" w:eastAsia="Arial" w:cs="宋体"/>
                <w:i w:val="0"/>
                <w:iCs w:val="0"/>
                <w:color w:val="auto"/>
                <w:kern w:val="0"/>
                <w:sz w:val="24"/>
                <w:szCs w:val="22"/>
                <w:u w:val="none"/>
                <w:lang w:val="en-US" w:eastAsia="zh-CN" w:bidi="ar"/>
              </w:rPr>
            </w:pPr>
            <w:r>
              <w:rPr>
                <w:rFonts w:hint="eastAsia" w:ascii="宋体" w:hAnsi="宋体" w:cs="仿宋"/>
                <w:color w:val="auto"/>
                <w:szCs w:val="24"/>
                <w:lang w:val="en-US"/>
              </w:rPr>
              <w:t>包括1张病案数字化工作台（不小于1.2米×0.6米）、1个数字化成像仪（硬件像素不小于500万像素）、2个LED摄影灯。</w:t>
            </w:r>
          </w:p>
        </w:tc>
      </w:tr>
      <w:tr w14:paraId="114AB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7854">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3</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6CA1">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高速数字成像仪</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62ED">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324E8">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套</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5735">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textAlignment w:val="auto"/>
              <w:rPr>
                <w:rFonts w:hint="eastAsia" w:ascii="宋体" w:hAnsi="宋体" w:eastAsia="宋体" w:cs="仿宋"/>
                <w:color w:val="auto"/>
                <w:szCs w:val="24"/>
                <w:lang w:val="en-US" w:eastAsia="zh-CN"/>
              </w:rPr>
            </w:pPr>
            <w:r>
              <w:rPr>
                <w:rFonts w:hint="eastAsia" w:ascii="宋体" w:hAnsi="宋体" w:cs="仿宋"/>
                <w:color w:val="auto"/>
                <w:szCs w:val="24"/>
                <w:lang w:val="en-US"/>
              </w:rPr>
              <w:t>1</w:t>
            </w:r>
            <w:r>
              <w:rPr>
                <w:rFonts w:hint="eastAsia" w:ascii="宋体" w:hAnsi="宋体" w:cs="仿宋"/>
                <w:color w:val="auto"/>
                <w:szCs w:val="24"/>
                <w:lang w:val="en-US" w:eastAsia="zh-CN"/>
              </w:rPr>
              <w:t>.</w:t>
            </w:r>
            <w:r>
              <w:rPr>
                <w:rFonts w:hint="eastAsia" w:ascii="宋体" w:hAnsi="宋体" w:cs="仿宋"/>
                <w:color w:val="auto"/>
                <w:szCs w:val="24"/>
                <w:lang w:val="en-US"/>
              </w:rPr>
              <w:t>成像仪尺寸：长：</w:t>
            </w:r>
            <w:r>
              <w:rPr>
                <w:rFonts w:hint="eastAsia" w:ascii="宋体" w:hAnsi="宋体" w:eastAsia="宋体" w:cs="仿宋"/>
                <w:color w:val="auto"/>
                <w:szCs w:val="24"/>
                <w:lang w:val="en-US" w:eastAsia="zh-CN"/>
              </w:rPr>
              <w:t>不小于</w:t>
            </w:r>
            <w:r>
              <w:rPr>
                <w:rFonts w:hint="eastAsia" w:ascii="宋体" w:hAnsi="宋体" w:cs="仿宋"/>
                <w:color w:val="auto"/>
                <w:szCs w:val="24"/>
                <w:lang w:val="en-US"/>
              </w:rPr>
              <w:t>55毫米，宽：</w:t>
            </w:r>
            <w:r>
              <w:rPr>
                <w:rFonts w:hint="eastAsia" w:ascii="宋体" w:hAnsi="宋体" w:eastAsia="宋体" w:cs="仿宋"/>
                <w:color w:val="auto"/>
                <w:szCs w:val="24"/>
                <w:lang w:val="en-US" w:eastAsia="zh-CN"/>
              </w:rPr>
              <w:t>不小于</w:t>
            </w:r>
            <w:bookmarkStart w:id="0" w:name="_GoBack"/>
            <w:bookmarkEnd w:id="0"/>
            <w:r>
              <w:rPr>
                <w:rFonts w:hint="eastAsia" w:ascii="宋体" w:hAnsi="宋体" w:cs="仿宋"/>
                <w:color w:val="auto"/>
                <w:szCs w:val="24"/>
                <w:lang w:val="en-US"/>
              </w:rPr>
              <w:t>55毫米，高：</w:t>
            </w:r>
            <w:r>
              <w:rPr>
                <w:rFonts w:hint="eastAsia" w:ascii="宋体" w:hAnsi="宋体" w:eastAsia="宋体" w:cs="仿宋"/>
                <w:color w:val="auto"/>
                <w:szCs w:val="24"/>
                <w:lang w:val="en-US" w:eastAsia="zh-CN"/>
              </w:rPr>
              <w:t>不小于</w:t>
            </w:r>
            <w:r>
              <w:rPr>
                <w:rFonts w:hint="eastAsia" w:ascii="宋体" w:hAnsi="宋体" w:cs="仿宋"/>
                <w:color w:val="auto"/>
                <w:szCs w:val="24"/>
                <w:lang w:val="en-US"/>
              </w:rPr>
              <w:t>35毫米</w:t>
            </w:r>
            <w:r>
              <w:rPr>
                <w:rFonts w:hint="eastAsia" w:ascii="宋体" w:hAnsi="宋体" w:cs="仿宋"/>
                <w:color w:val="auto"/>
                <w:szCs w:val="24"/>
                <w:lang w:val="en-US" w:eastAsia="zh-CN"/>
              </w:rPr>
              <w:t>；</w:t>
            </w:r>
          </w:p>
          <w:p w14:paraId="7D6ECE8F">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textAlignment w:val="auto"/>
              <w:rPr>
                <w:rFonts w:hint="eastAsia" w:ascii="宋体" w:hAnsi="宋体" w:eastAsia="宋体" w:cs="仿宋"/>
                <w:color w:val="auto"/>
                <w:szCs w:val="24"/>
                <w:lang w:val="en-US" w:eastAsia="zh-CN"/>
              </w:rPr>
            </w:pPr>
            <w:r>
              <w:rPr>
                <w:rFonts w:hint="eastAsia" w:ascii="宋体" w:hAnsi="宋体" w:cs="仿宋"/>
                <w:color w:val="auto"/>
                <w:szCs w:val="24"/>
                <w:lang w:val="en-US"/>
              </w:rPr>
              <w:t>2</w:t>
            </w:r>
            <w:r>
              <w:rPr>
                <w:rFonts w:hint="eastAsia" w:ascii="宋体" w:hAnsi="宋体" w:cs="仿宋"/>
                <w:color w:val="auto"/>
                <w:szCs w:val="24"/>
                <w:lang w:val="en-US" w:eastAsia="zh-CN"/>
              </w:rPr>
              <w:t>.</w:t>
            </w:r>
            <w:r>
              <w:rPr>
                <w:rFonts w:hint="eastAsia" w:ascii="宋体" w:hAnsi="宋体" w:cs="仿宋"/>
                <w:color w:val="auto"/>
                <w:szCs w:val="24"/>
                <w:lang w:val="en-US"/>
              </w:rPr>
              <w:t>外观色彩：黑色</w:t>
            </w:r>
            <w:r>
              <w:rPr>
                <w:rFonts w:hint="eastAsia" w:ascii="宋体" w:hAnsi="宋体" w:cs="仿宋"/>
                <w:color w:val="auto"/>
                <w:szCs w:val="24"/>
                <w:lang w:val="en-US" w:eastAsia="zh-CN"/>
              </w:rPr>
              <w:t>；</w:t>
            </w:r>
          </w:p>
          <w:p w14:paraId="79582750">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textAlignment w:val="auto"/>
              <w:rPr>
                <w:rFonts w:hint="eastAsia" w:ascii="宋体" w:hAnsi="宋体" w:eastAsia="宋体" w:cs="仿宋"/>
                <w:color w:val="auto"/>
                <w:szCs w:val="24"/>
                <w:lang w:val="en-US" w:eastAsia="zh-CN"/>
              </w:rPr>
            </w:pPr>
            <w:r>
              <w:rPr>
                <w:rFonts w:hint="eastAsia" w:ascii="宋体" w:hAnsi="宋体" w:cs="仿宋"/>
                <w:color w:val="auto"/>
                <w:szCs w:val="24"/>
                <w:lang w:val="en-US"/>
              </w:rPr>
              <w:t>3</w:t>
            </w:r>
            <w:r>
              <w:rPr>
                <w:rFonts w:hint="eastAsia" w:ascii="宋体" w:hAnsi="宋体" w:cs="仿宋"/>
                <w:color w:val="auto"/>
                <w:szCs w:val="24"/>
                <w:lang w:val="en-US" w:eastAsia="zh-CN"/>
              </w:rPr>
              <w:t>.</w:t>
            </w:r>
            <w:r>
              <w:rPr>
                <w:rFonts w:hint="eastAsia" w:ascii="宋体" w:hAnsi="宋体" w:cs="仿宋"/>
                <w:color w:val="auto"/>
                <w:szCs w:val="24"/>
                <w:lang w:val="en-US"/>
              </w:rPr>
              <w:t>硬件分辨率：</w:t>
            </w:r>
            <w:r>
              <w:rPr>
                <w:rFonts w:hint="eastAsia" w:ascii="宋体" w:hAnsi="宋体" w:eastAsia="宋体" w:cs="仿宋"/>
                <w:color w:val="auto"/>
                <w:szCs w:val="24"/>
                <w:lang w:val="en-US" w:eastAsia="zh-CN"/>
              </w:rPr>
              <w:t>不小于</w:t>
            </w:r>
            <w:r>
              <w:rPr>
                <w:rFonts w:hint="eastAsia" w:ascii="宋体" w:hAnsi="宋体" w:cs="仿宋"/>
                <w:color w:val="auto"/>
                <w:szCs w:val="24"/>
                <w:lang w:val="en-US"/>
              </w:rPr>
              <w:t>500万像素</w:t>
            </w:r>
            <w:r>
              <w:rPr>
                <w:rFonts w:hint="eastAsia" w:ascii="宋体" w:hAnsi="宋体" w:cs="仿宋"/>
                <w:color w:val="auto"/>
                <w:szCs w:val="24"/>
                <w:lang w:val="en-US" w:eastAsia="zh-CN"/>
              </w:rPr>
              <w:t>；</w:t>
            </w:r>
          </w:p>
          <w:p w14:paraId="6F7C2E22">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textAlignment w:val="auto"/>
              <w:rPr>
                <w:rFonts w:hint="eastAsia" w:ascii="宋体" w:hAnsi="宋体" w:eastAsia="宋体" w:cs="仿宋"/>
                <w:color w:val="auto"/>
                <w:szCs w:val="24"/>
                <w:lang w:val="en-US" w:eastAsia="zh-CN"/>
              </w:rPr>
            </w:pPr>
            <w:r>
              <w:rPr>
                <w:rFonts w:hint="eastAsia" w:ascii="宋体" w:hAnsi="宋体" w:cs="仿宋"/>
                <w:color w:val="auto"/>
                <w:szCs w:val="24"/>
                <w:lang w:val="en-US"/>
              </w:rPr>
              <w:t>4</w:t>
            </w:r>
            <w:r>
              <w:rPr>
                <w:rFonts w:hint="eastAsia" w:ascii="宋体" w:hAnsi="宋体" w:cs="仿宋"/>
                <w:color w:val="auto"/>
                <w:szCs w:val="24"/>
                <w:lang w:val="en-US" w:eastAsia="zh-CN"/>
              </w:rPr>
              <w:t>.</w:t>
            </w:r>
            <w:r>
              <w:rPr>
                <w:rFonts w:hint="eastAsia" w:ascii="宋体" w:hAnsi="宋体" w:cs="仿宋"/>
                <w:color w:val="auto"/>
                <w:szCs w:val="24"/>
                <w:lang w:val="en-US"/>
              </w:rPr>
              <w:t>成像大小：</w:t>
            </w:r>
            <w:r>
              <w:rPr>
                <w:rFonts w:hint="eastAsia" w:ascii="宋体" w:hAnsi="宋体" w:eastAsia="宋体" w:cs="仿宋"/>
                <w:color w:val="auto"/>
                <w:szCs w:val="24"/>
                <w:lang w:val="en-US" w:eastAsia="zh-CN"/>
              </w:rPr>
              <w:t>不小于</w:t>
            </w:r>
            <w:r>
              <w:rPr>
                <w:rFonts w:hint="eastAsia" w:ascii="宋体" w:hAnsi="宋体" w:cs="仿宋"/>
                <w:color w:val="auto"/>
                <w:szCs w:val="24"/>
                <w:lang w:val="en-US"/>
              </w:rPr>
              <w:t>2592×1944，2048×1536</w:t>
            </w:r>
            <w:r>
              <w:rPr>
                <w:rFonts w:hint="eastAsia" w:ascii="宋体" w:hAnsi="宋体" w:cs="仿宋"/>
                <w:color w:val="auto"/>
                <w:szCs w:val="24"/>
                <w:lang w:val="en-US" w:eastAsia="zh-CN"/>
              </w:rPr>
              <w:t>；</w:t>
            </w:r>
          </w:p>
          <w:p w14:paraId="66799B98">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textAlignment w:val="auto"/>
              <w:rPr>
                <w:rFonts w:hint="eastAsia" w:ascii="宋体" w:hAnsi="宋体" w:eastAsia="宋体" w:cs="仿宋"/>
                <w:color w:val="auto"/>
                <w:szCs w:val="24"/>
                <w:lang w:val="en-US" w:eastAsia="zh-CN"/>
              </w:rPr>
            </w:pPr>
            <w:r>
              <w:rPr>
                <w:rFonts w:hint="eastAsia" w:ascii="宋体" w:hAnsi="宋体" w:cs="仿宋"/>
                <w:color w:val="auto"/>
                <w:szCs w:val="24"/>
                <w:lang w:val="en-US"/>
              </w:rPr>
              <w:t>5</w:t>
            </w:r>
            <w:r>
              <w:rPr>
                <w:rFonts w:hint="eastAsia" w:ascii="宋体" w:hAnsi="宋体" w:cs="仿宋"/>
                <w:color w:val="auto"/>
                <w:szCs w:val="24"/>
                <w:lang w:val="en-US" w:eastAsia="zh-CN"/>
              </w:rPr>
              <w:t>.</w:t>
            </w:r>
            <w:r>
              <w:rPr>
                <w:rFonts w:hint="eastAsia" w:ascii="宋体" w:hAnsi="宋体" w:cs="仿宋"/>
                <w:color w:val="auto"/>
                <w:szCs w:val="24"/>
                <w:lang w:val="en-US"/>
              </w:rPr>
              <w:t>图像色彩：RGB24（全彩色）</w:t>
            </w:r>
            <w:r>
              <w:rPr>
                <w:rFonts w:hint="eastAsia" w:ascii="宋体" w:hAnsi="宋体" w:cs="仿宋"/>
                <w:color w:val="auto"/>
                <w:szCs w:val="24"/>
                <w:lang w:val="en-US" w:eastAsia="zh-CN"/>
              </w:rPr>
              <w:t>；</w:t>
            </w:r>
          </w:p>
          <w:p w14:paraId="08EA16B1">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textAlignment w:val="auto"/>
              <w:rPr>
                <w:rFonts w:hint="eastAsia" w:ascii="宋体" w:hAnsi="宋体" w:eastAsia="宋体" w:cs="仿宋"/>
                <w:color w:val="auto"/>
                <w:szCs w:val="24"/>
                <w:lang w:val="en-US" w:eastAsia="zh-CN"/>
              </w:rPr>
            </w:pPr>
            <w:r>
              <w:rPr>
                <w:rFonts w:hint="eastAsia" w:ascii="宋体" w:hAnsi="宋体" w:cs="仿宋"/>
                <w:color w:val="auto"/>
                <w:szCs w:val="24"/>
                <w:lang w:val="en-US"/>
              </w:rPr>
              <w:t>6</w:t>
            </w:r>
            <w:r>
              <w:rPr>
                <w:rFonts w:hint="eastAsia" w:ascii="宋体" w:hAnsi="宋体" w:cs="仿宋"/>
                <w:color w:val="auto"/>
                <w:szCs w:val="24"/>
                <w:lang w:val="en-US" w:eastAsia="zh-CN"/>
              </w:rPr>
              <w:t>.</w:t>
            </w:r>
            <w:r>
              <w:rPr>
                <w:rFonts w:hint="eastAsia" w:ascii="宋体" w:hAnsi="宋体" w:cs="仿宋"/>
                <w:color w:val="auto"/>
                <w:szCs w:val="24"/>
                <w:lang w:val="en-US"/>
              </w:rPr>
              <w:t>成像时间：</w:t>
            </w:r>
            <w:r>
              <w:rPr>
                <w:rFonts w:hint="eastAsia" w:ascii="宋体" w:hAnsi="宋体" w:eastAsia="宋体" w:cs="仿宋"/>
                <w:color w:val="auto"/>
                <w:szCs w:val="24"/>
                <w:lang w:val="en-US" w:eastAsia="zh-CN"/>
              </w:rPr>
              <w:t>不大于</w:t>
            </w:r>
            <w:r>
              <w:rPr>
                <w:rFonts w:hint="eastAsia" w:ascii="宋体" w:hAnsi="宋体" w:cs="仿宋"/>
                <w:color w:val="auto"/>
                <w:szCs w:val="24"/>
                <w:lang w:val="en-US"/>
              </w:rPr>
              <w:t>1秒</w:t>
            </w:r>
            <w:r>
              <w:rPr>
                <w:rFonts w:hint="eastAsia" w:ascii="宋体" w:hAnsi="宋体" w:cs="仿宋"/>
                <w:color w:val="auto"/>
                <w:szCs w:val="24"/>
                <w:lang w:val="en-US" w:eastAsia="zh-CN"/>
              </w:rPr>
              <w:t>；</w:t>
            </w:r>
          </w:p>
          <w:p w14:paraId="0A50CA92">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textAlignment w:val="auto"/>
              <w:rPr>
                <w:rFonts w:hint="eastAsia" w:ascii="宋体" w:hAnsi="宋体" w:eastAsia="宋体" w:cs="仿宋"/>
                <w:color w:val="auto"/>
                <w:szCs w:val="24"/>
                <w:lang w:val="en-US" w:eastAsia="zh-CN"/>
              </w:rPr>
            </w:pPr>
            <w:r>
              <w:rPr>
                <w:rFonts w:hint="eastAsia" w:ascii="宋体" w:hAnsi="宋体" w:cs="仿宋"/>
                <w:color w:val="auto"/>
                <w:szCs w:val="24"/>
                <w:lang w:val="en-US"/>
              </w:rPr>
              <w:t>7</w:t>
            </w:r>
            <w:r>
              <w:rPr>
                <w:rFonts w:hint="eastAsia" w:ascii="宋体" w:hAnsi="宋体" w:cs="仿宋"/>
                <w:color w:val="auto"/>
                <w:szCs w:val="24"/>
                <w:lang w:val="en-US" w:eastAsia="zh-CN"/>
              </w:rPr>
              <w:t>.</w:t>
            </w:r>
            <w:r>
              <w:rPr>
                <w:rFonts w:hint="eastAsia" w:ascii="宋体" w:hAnsi="宋体" w:cs="仿宋"/>
                <w:color w:val="auto"/>
                <w:szCs w:val="24"/>
                <w:lang w:val="en-US"/>
              </w:rPr>
              <w:t>接口：USB2.0</w:t>
            </w:r>
            <w:r>
              <w:rPr>
                <w:rFonts w:hint="eastAsia" w:ascii="宋体" w:hAnsi="宋体" w:cs="仿宋"/>
                <w:color w:val="auto"/>
                <w:szCs w:val="24"/>
                <w:lang w:val="en-US" w:eastAsia="zh-CN"/>
              </w:rPr>
              <w:t>；</w:t>
            </w:r>
          </w:p>
          <w:p w14:paraId="59EF0073">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textAlignment w:val="auto"/>
              <w:rPr>
                <w:rFonts w:hint="eastAsia" w:ascii="宋体" w:hAnsi="宋体" w:eastAsia="宋体" w:cs="仿宋"/>
                <w:color w:val="auto"/>
                <w:szCs w:val="24"/>
                <w:lang w:val="en-US" w:eastAsia="zh-CN"/>
              </w:rPr>
            </w:pPr>
            <w:r>
              <w:rPr>
                <w:rFonts w:hint="eastAsia" w:ascii="宋体" w:hAnsi="宋体" w:cs="仿宋"/>
                <w:color w:val="auto"/>
                <w:szCs w:val="24"/>
                <w:lang w:val="en-US"/>
              </w:rPr>
              <w:t>8</w:t>
            </w:r>
            <w:r>
              <w:rPr>
                <w:rFonts w:hint="eastAsia" w:ascii="宋体" w:hAnsi="宋体" w:cs="仿宋"/>
                <w:color w:val="auto"/>
                <w:szCs w:val="24"/>
                <w:lang w:val="en-US" w:eastAsia="zh-CN"/>
              </w:rPr>
              <w:t>.</w:t>
            </w:r>
            <w:r>
              <w:rPr>
                <w:rFonts w:hint="eastAsia" w:ascii="宋体" w:hAnsi="宋体" w:cs="仿宋"/>
                <w:color w:val="auto"/>
                <w:szCs w:val="24"/>
                <w:lang w:val="en-US"/>
              </w:rPr>
              <w:t>成像功能：亮度调整、曝光长度调整、色彩调整、增益控制等</w:t>
            </w:r>
            <w:r>
              <w:rPr>
                <w:rFonts w:hint="eastAsia" w:ascii="宋体" w:hAnsi="宋体" w:cs="仿宋"/>
                <w:color w:val="auto"/>
                <w:szCs w:val="24"/>
                <w:lang w:val="en-US" w:eastAsia="zh-CN"/>
              </w:rPr>
              <w:t>；</w:t>
            </w:r>
          </w:p>
          <w:p w14:paraId="10266DEE">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textAlignment w:val="auto"/>
              <w:rPr>
                <w:rFonts w:hint="eastAsia" w:ascii="宋体" w:hAnsi="宋体" w:eastAsia="宋体" w:cs="仿宋"/>
                <w:color w:val="auto"/>
                <w:szCs w:val="24"/>
                <w:lang w:val="en-US" w:eastAsia="zh-CN"/>
              </w:rPr>
            </w:pPr>
            <w:r>
              <w:rPr>
                <w:rFonts w:hint="eastAsia" w:ascii="宋体" w:hAnsi="宋体" w:cs="仿宋"/>
                <w:color w:val="auto"/>
                <w:szCs w:val="24"/>
                <w:lang w:val="en-US"/>
              </w:rPr>
              <w:t>9</w:t>
            </w:r>
            <w:r>
              <w:rPr>
                <w:rFonts w:hint="eastAsia" w:ascii="宋体" w:hAnsi="宋体" w:cs="仿宋"/>
                <w:color w:val="auto"/>
                <w:szCs w:val="24"/>
                <w:lang w:val="en-US" w:eastAsia="zh-CN"/>
              </w:rPr>
              <w:t>.</w:t>
            </w:r>
            <w:r>
              <w:rPr>
                <w:rFonts w:hint="eastAsia" w:ascii="宋体" w:hAnsi="宋体" w:cs="仿宋"/>
                <w:color w:val="auto"/>
                <w:szCs w:val="24"/>
                <w:lang w:val="en-US"/>
              </w:rPr>
              <w:t>镜头：定焦镜头</w:t>
            </w:r>
            <w:r>
              <w:rPr>
                <w:rFonts w:hint="eastAsia" w:ascii="宋体" w:hAnsi="宋体" w:cs="仿宋"/>
                <w:color w:val="auto"/>
                <w:szCs w:val="24"/>
                <w:lang w:val="en-US" w:eastAsia="zh-CN"/>
              </w:rPr>
              <w:t>。</w:t>
            </w:r>
          </w:p>
          <w:p w14:paraId="052BDC8B">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p>
        </w:tc>
      </w:tr>
      <w:tr w14:paraId="2CA3D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96" w:type="dxa"/>
            <w:bottom w:w="56" w:type="dxa"/>
            <w:right w:w="96" w:type="dxa"/>
          </w:tblCellMar>
        </w:tblPrEx>
        <w:trPr>
          <w:trHeight w:val="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E878">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4</w:t>
            </w:r>
          </w:p>
        </w:tc>
        <w:tc>
          <w:tcPr>
            <w:tcW w:w="17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C7F6">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存储设备</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7CFB">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1</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2790">
            <w:pPr>
              <w:keepNext w:val="0"/>
              <w:keepLines w:val="0"/>
              <w:widowControl/>
              <w:suppressLineNumbers w:val="0"/>
              <w:snapToGrid w:val="0"/>
              <w:jc w:val="center"/>
              <w:textAlignment w:val="center"/>
              <w:rPr>
                <w:rFonts w:hint="eastAsia" w:ascii="宋体" w:hAnsi="宋体" w:eastAsia="Arial" w:cs="宋体"/>
                <w:i w:val="0"/>
                <w:iCs w:val="0"/>
                <w:color w:val="auto"/>
                <w:sz w:val="24"/>
                <w:szCs w:val="22"/>
                <w:u w:val="none"/>
              </w:rPr>
            </w:pPr>
            <w:r>
              <w:rPr>
                <w:rFonts w:hint="eastAsia" w:ascii="宋体" w:hAnsi="宋体" w:eastAsia="Arial" w:cs="宋体"/>
                <w:i w:val="0"/>
                <w:iCs w:val="0"/>
                <w:color w:val="auto"/>
                <w:kern w:val="0"/>
                <w:sz w:val="24"/>
                <w:szCs w:val="22"/>
                <w:u w:val="none"/>
                <w:lang w:val="en-US" w:eastAsia="zh-CN" w:bidi="ar"/>
              </w:rPr>
              <w:t>套</w:t>
            </w:r>
          </w:p>
        </w:tc>
        <w:tc>
          <w:tcPr>
            <w:tcW w:w="4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D3EC">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textAlignment w:val="auto"/>
              <w:rPr>
                <w:rFonts w:hint="eastAsia" w:ascii="宋体" w:hAnsi="宋体" w:cs="仿宋"/>
                <w:color w:val="auto"/>
                <w:szCs w:val="24"/>
                <w:lang w:val="en-US"/>
              </w:rPr>
            </w:pPr>
            <w:r>
              <w:rPr>
                <w:rFonts w:hint="eastAsia" w:ascii="宋体" w:hAnsi="宋体" w:cs="仿宋"/>
                <w:color w:val="auto"/>
                <w:szCs w:val="24"/>
                <w:lang w:val="en-US" w:eastAsia="zh-CN"/>
              </w:rPr>
              <w:t>1.</w:t>
            </w:r>
            <w:r>
              <w:rPr>
                <w:rFonts w:hint="eastAsia" w:ascii="宋体" w:hAnsi="宋体" w:cs="仿宋"/>
                <w:color w:val="auto"/>
                <w:szCs w:val="24"/>
                <w:lang w:val="en-US"/>
              </w:rPr>
              <w:t>处理器：</w:t>
            </w:r>
            <w:r>
              <w:rPr>
                <w:rFonts w:hint="eastAsia" w:ascii="宋体" w:hAnsi="宋体" w:eastAsia="宋体" w:cs="仿宋"/>
                <w:color w:val="auto"/>
                <w:szCs w:val="24"/>
                <w:lang w:val="en-US" w:eastAsia="zh-CN"/>
              </w:rPr>
              <w:t>不小于</w:t>
            </w:r>
            <w:r>
              <w:rPr>
                <w:rFonts w:hint="eastAsia" w:ascii="宋体" w:hAnsi="宋体" w:cs="仿宋"/>
                <w:color w:val="auto"/>
                <w:szCs w:val="24"/>
                <w:lang w:val="en-US"/>
              </w:rPr>
              <w:t>2颗16-Core处理器（x86），频率≥2.3GHz；</w:t>
            </w:r>
          </w:p>
          <w:p w14:paraId="40621E59">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jc w:val="left"/>
              <w:textAlignment w:val="auto"/>
              <w:rPr>
                <w:rFonts w:hint="eastAsia" w:ascii="宋体" w:hAnsi="宋体" w:eastAsia="宋体" w:cs="仿宋"/>
                <w:color w:val="auto"/>
                <w:szCs w:val="24"/>
                <w:lang w:val="en-US" w:eastAsia="zh-CN"/>
              </w:rPr>
            </w:pPr>
            <w:r>
              <w:rPr>
                <w:rFonts w:hint="eastAsia" w:ascii="宋体" w:hAnsi="宋体" w:cs="仿宋"/>
                <w:color w:val="auto"/>
                <w:szCs w:val="24"/>
                <w:lang w:val="en-US" w:eastAsia="zh-CN"/>
              </w:rPr>
              <w:t>2.内存：</w:t>
            </w:r>
            <w:r>
              <w:rPr>
                <w:rFonts w:hint="eastAsia" w:ascii="宋体" w:hAnsi="宋体" w:eastAsia="宋体" w:cs="仿宋"/>
                <w:color w:val="auto"/>
                <w:szCs w:val="24"/>
                <w:lang w:val="en-US" w:eastAsia="zh-CN"/>
              </w:rPr>
              <w:t>不小于</w:t>
            </w:r>
            <w:r>
              <w:rPr>
                <w:rFonts w:hint="eastAsia" w:ascii="宋体" w:hAnsi="宋体" w:cs="仿宋"/>
                <w:color w:val="auto"/>
                <w:szCs w:val="24"/>
                <w:lang w:val="en-US" w:eastAsia="zh-CN"/>
              </w:rPr>
              <w:t>16*64GB DDR4 2666MHz</w:t>
            </w:r>
          </w:p>
          <w:p w14:paraId="36DA24C5">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textAlignment w:val="auto"/>
              <w:rPr>
                <w:rFonts w:hint="eastAsia" w:ascii="宋体" w:hAnsi="宋体" w:cs="仿宋"/>
                <w:color w:val="auto"/>
                <w:szCs w:val="24"/>
                <w:lang w:val="en-US"/>
              </w:rPr>
            </w:pPr>
            <w:r>
              <w:rPr>
                <w:rFonts w:hint="eastAsia" w:ascii="宋体" w:hAnsi="宋体" w:eastAsia="宋体" w:cs="仿宋"/>
                <w:color w:val="auto"/>
                <w:kern w:val="2"/>
                <w:sz w:val="24"/>
                <w:szCs w:val="24"/>
                <w:lang w:val="en-US" w:eastAsia="zh-CN" w:bidi="ar-SA"/>
              </w:rPr>
              <w:t>3.</w:t>
            </w:r>
            <w:r>
              <w:rPr>
                <w:rFonts w:hint="eastAsia" w:ascii="宋体" w:hAnsi="宋体" w:cs="仿宋"/>
                <w:color w:val="auto"/>
                <w:szCs w:val="24"/>
                <w:lang w:val="en-US"/>
              </w:rPr>
              <w:t>硬盘：</w:t>
            </w:r>
            <w:r>
              <w:rPr>
                <w:rFonts w:hint="eastAsia" w:ascii="宋体" w:hAnsi="宋体" w:eastAsia="宋体" w:cs="仿宋"/>
                <w:color w:val="auto"/>
                <w:szCs w:val="24"/>
                <w:lang w:val="en-US" w:eastAsia="zh-CN"/>
              </w:rPr>
              <w:t>不小于</w:t>
            </w:r>
            <w:r>
              <w:rPr>
                <w:rFonts w:hint="eastAsia" w:ascii="宋体" w:hAnsi="宋体" w:cs="仿宋"/>
                <w:color w:val="auto"/>
                <w:szCs w:val="24"/>
                <w:lang w:val="en-US"/>
              </w:rPr>
              <w:t>2块600GB-SAS 12Gb/s-10K rpm-128MB及以上-2.5英寸(2.5英寸托架)；RAID卡： SAS/SATA RAID卡-RAID0,1,10-12Gb/s；</w:t>
            </w:r>
          </w:p>
          <w:p w14:paraId="172EB067">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textAlignment w:val="auto"/>
              <w:rPr>
                <w:rFonts w:hint="eastAsia" w:ascii="宋体" w:hAnsi="宋体" w:cs="仿宋"/>
                <w:color w:val="auto"/>
                <w:szCs w:val="24"/>
                <w:lang w:val="en-US" w:eastAsia="zh-CN"/>
              </w:rPr>
            </w:pPr>
            <w:r>
              <w:rPr>
                <w:rFonts w:hint="eastAsia" w:ascii="宋体" w:hAnsi="宋体" w:eastAsia="宋体" w:cs="仿宋"/>
                <w:color w:val="auto"/>
                <w:kern w:val="2"/>
                <w:sz w:val="24"/>
                <w:szCs w:val="24"/>
                <w:lang w:val="en-US" w:eastAsia="zh-CN" w:bidi="ar-SA"/>
              </w:rPr>
              <w:t>4.</w:t>
            </w:r>
            <w:r>
              <w:rPr>
                <w:rFonts w:hint="eastAsia" w:ascii="宋体" w:hAnsi="宋体" w:cs="仿宋"/>
                <w:color w:val="auto"/>
                <w:szCs w:val="24"/>
                <w:lang w:val="en-US"/>
              </w:rPr>
              <w:t>网卡：以太网卡-</w:t>
            </w:r>
            <w:r>
              <w:rPr>
                <w:rFonts w:hint="eastAsia" w:ascii="宋体" w:hAnsi="宋体" w:eastAsia="宋体" w:cs="仿宋"/>
                <w:color w:val="auto"/>
                <w:szCs w:val="24"/>
                <w:lang w:val="en-US" w:eastAsia="zh-CN"/>
              </w:rPr>
              <w:t>不小于</w:t>
            </w:r>
            <w:r>
              <w:rPr>
                <w:rFonts w:hint="eastAsia" w:ascii="宋体" w:hAnsi="宋体" w:cs="仿宋"/>
                <w:color w:val="auto"/>
                <w:szCs w:val="24"/>
                <w:lang w:val="en-US"/>
              </w:rPr>
              <w:t>4个1Gb端口</w:t>
            </w:r>
            <w:r>
              <w:rPr>
                <w:rFonts w:hint="eastAsia" w:ascii="宋体" w:hAnsi="宋体" w:cs="仿宋"/>
                <w:color w:val="auto"/>
                <w:szCs w:val="24"/>
                <w:lang w:val="en-US" w:eastAsia="zh-CN"/>
              </w:rPr>
              <w:t>；</w:t>
            </w:r>
          </w:p>
          <w:p w14:paraId="0EA76C39">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textAlignment w:val="auto"/>
              <w:rPr>
                <w:rFonts w:hint="eastAsia" w:ascii="宋体" w:hAnsi="宋体" w:cs="仿宋"/>
                <w:color w:val="auto"/>
                <w:szCs w:val="24"/>
                <w:lang w:val="en-US"/>
              </w:rPr>
            </w:pPr>
            <w:r>
              <w:rPr>
                <w:rFonts w:hint="eastAsia" w:ascii="宋体" w:hAnsi="宋体" w:eastAsia="宋体" w:cs="仿宋"/>
                <w:color w:val="auto"/>
                <w:kern w:val="2"/>
                <w:sz w:val="24"/>
                <w:szCs w:val="24"/>
                <w:lang w:val="en-US" w:eastAsia="zh-CN" w:bidi="ar-SA"/>
              </w:rPr>
              <w:t>5.</w:t>
            </w:r>
            <w:r>
              <w:rPr>
                <w:rFonts w:hint="eastAsia" w:ascii="宋体" w:hAnsi="宋体" w:cs="仿宋"/>
                <w:color w:val="auto"/>
                <w:szCs w:val="24"/>
                <w:lang w:val="en-US"/>
              </w:rPr>
              <w:t>HBA卡：</w:t>
            </w:r>
            <w:r>
              <w:rPr>
                <w:rFonts w:hint="eastAsia" w:ascii="宋体" w:hAnsi="宋体" w:eastAsia="宋体" w:cs="仿宋"/>
                <w:color w:val="auto"/>
                <w:szCs w:val="24"/>
                <w:lang w:val="en-US" w:eastAsia="zh-CN"/>
              </w:rPr>
              <w:t>不小于</w:t>
            </w:r>
            <w:r>
              <w:rPr>
                <w:rFonts w:hint="eastAsia" w:ascii="宋体" w:hAnsi="宋体" w:cs="仿宋"/>
                <w:color w:val="auto"/>
                <w:szCs w:val="24"/>
                <w:lang w:val="en-US"/>
              </w:rPr>
              <w:t>2*FC HBA卡-16Gb-双端口-SFP+(含</w:t>
            </w:r>
            <w:r>
              <w:rPr>
                <w:rFonts w:hint="eastAsia" w:ascii="宋体" w:hAnsi="宋体" w:eastAsia="宋体" w:cs="仿宋"/>
                <w:color w:val="auto"/>
                <w:szCs w:val="24"/>
                <w:lang w:val="en-US" w:eastAsia="zh-CN"/>
              </w:rPr>
              <w:t>不小于</w:t>
            </w:r>
            <w:r>
              <w:rPr>
                <w:rFonts w:hint="eastAsia" w:ascii="宋体" w:hAnsi="宋体" w:cs="仿宋"/>
                <w:color w:val="auto"/>
                <w:szCs w:val="24"/>
                <w:lang w:val="en-US"/>
              </w:rPr>
              <w:t>2个多模光模块)；</w:t>
            </w:r>
          </w:p>
          <w:p w14:paraId="56140B2E">
            <w:pPr>
              <w:pStyle w:val="16"/>
              <w:keepNext w:val="0"/>
              <w:keepLines w:val="0"/>
              <w:pageBreakBefore w:val="0"/>
              <w:widowControl w:val="0"/>
              <w:numPr>
                <w:ilvl w:val="0"/>
                <w:numId w:val="0"/>
              </w:numPr>
              <w:tabs>
                <w:tab w:val="clear" w:pos="785"/>
              </w:tabs>
              <w:kinsoku/>
              <w:wordWrap/>
              <w:overflowPunct/>
              <w:topLinePunct w:val="0"/>
              <w:autoSpaceDE/>
              <w:autoSpaceDN/>
              <w:bidi w:val="0"/>
              <w:adjustRightInd/>
              <w:snapToGrid/>
              <w:spacing w:beforeLines="0" w:afterLines="0" w:line="440" w:lineRule="exact"/>
              <w:ind w:left="0" w:leftChars="0" w:firstLine="480" w:firstLineChars="200"/>
              <w:textAlignment w:val="auto"/>
              <w:rPr>
                <w:rFonts w:hint="eastAsia" w:ascii="宋体" w:hAnsi="宋体" w:eastAsia="宋体" w:cs="仿宋"/>
                <w:color w:val="auto"/>
                <w:szCs w:val="24"/>
                <w:lang w:val="en-US" w:eastAsia="zh-CN"/>
              </w:rPr>
            </w:pPr>
            <w:r>
              <w:rPr>
                <w:rFonts w:hint="eastAsia" w:ascii="宋体" w:hAnsi="宋体" w:eastAsia="宋体" w:cs="仿宋"/>
                <w:color w:val="auto"/>
                <w:kern w:val="2"/>
                <w:sz w:val="24"/>
                <w:szCs w:val="24"/>
                <w:lang w:val="en-US" w:eastAsia="zh-CN" w:bidi="ar-SA"/>
              </w:rPr>
              <w:t>6.</w:t>
            </w:r>
            <w:r>
              <w:rPr>
                <w:rFonts w:hint="eastAsia" w:ascii="宋体" w:hAnsi="宋体" w:cs="仿宋"/>
                <w:color w:val="auto"/>
                <w:szCs w:val="24"/>
                <w:lang w:val="en-US"/>
              </w:rPr>
              <w:t>双电源</w:t>
            </w:r>
            <w:r>
              <w:rPr>
                <w:rFonts w:hint="eastAsia" w:ascii="宋体" w:hAnsi="宋体" w:cs="仿宋"/>
                <w:color w:val="auto"/>
                <w:szCs w:val="24"/>
                <w:lang w:val="en-US" w:eastAsia="zh-CN"/>
              </w:rPr>
              <w:t>。</w:t>
            </w:r>
          </w:p>
          <w:p w14:paraId="174209BE">
            <w:pPr>
              <w:keepNext w:val="0"/>
              <w:keepLines w:val="0"/>
              <w:widowControl/>
              <w:suppressLineNumbers w:val="0"/>
              <w:snapToGrid w:val="0"/>
              <w:jc w:val="left"/>
              <w:textAlignment w:val="center"/>
              <w:rPr>
                <w:rFonts w:hint="eastAsia" w:ascii="宋体" w:hAnsi="宋体" w:eastAsia="Arial" w:cs="宋体"/>
                <w:i w:val="0"/>
                <w:iCs w:val="0"/>
                <w:color w:val="auto"/>
                <w:kern w:val="0"/>
                <w:sz w:val="24"/>
                <w:szCs w:val="22"/>
                <w:u w:val="none"/>
                <w:lang w:val="en-US" w:eastAsia="zh-CN" w:bidi="ar"/>
              </w:rPr>
            </w:pPr>
          </w:p>
        </w:tc>
      </w:tr>
    </w:tbl>
    <w:p w14:paraId="385A1A6D">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三、商务要求</w:t>
      </w:r>
    </w:p>
    <w:p w14:paraId="139353DD">
      <w:pPr>
        <w:pStyle w:val="14"/>
        <w:numPr>
          <w:ilvl w:val="0"/>
          <w:numId w:val="0"/>
        </w:numPr>
        <w:ind w:leftChars="0" w:firstLine="440" w:firstLineChars="200"/>
      </w:pPr>
      <w:r>
        <w:rPr>
          <w:rFonts w:hint="eastAsia"/>
          <w:b/>
          <w:bCs/>
          <w:lang w:val="en-US" w:eastAsia="zh-CN"/>
        </w:rPr>
        <w:t>1.</w:t>
      </w:r>
      <w:r>
        <w:rPr>
          <w:rFonts w:hint="eastAsia"/>
          <w:b/>
          <w:bCs/>
          <w:lang w:eastAsia="zh-CN"/>
        </w:rPr>
        <w:t>服务期限</w:t>
      </w:r>
      <w:r>
        <w:t>：自合同签订之日起</w:t>
      </w:r>
      <w:r>
        <w:rPr>
          <w:rFonts w:hint="eastAsia"/>
          <w:lang w:val="en-US" w:eastAsia="zh-CN"/>
        </w:rPr>
        <w:t>30</w:t>
      </w:r>
      <w:r>
        <w:t>日。</w:t>
      </w:r>
    </w:p>
    <w:p w14:paraId="2517EC10">
      <w:pPr>
        <w:pStyle w:val="14"/>
        <w:numPr>
          <w:ilvl w:val="0"/>
          <w:numId w:val="0"/>
        </w:numPr>
        <w:ind w:leftChars="0" w:firstLine="440" w:firstLineChars="200"/>
      </w:pPr>
      <w:r>
        <w:rPr>
          <w:rFonts w:hint="eastAsia"/>
          <w:b/>
          <w:bCs/>
          <w:lang w:val="en-US" w:eastAsia="zh-CN"/>
        </w:rPr>
        <w:t>2.</w:t>
      </w:r>
      <w:r>
        <w:rPr>
          <w:b/>
          <w:bCs/>
        </w:rPr>
        <w:t>服务地点</w:t>
      </w:r>
      <w:r>
        <w:t>：宜宾市</w:t>
      </w:r>
      <w:r>
        <w:rPr>
          <w:rFonts w:hint="eastAsia"/>
        </w:rPr>
        <w:t>高县中医医院</w:t>
      </w:r>
      <w:r>
        <w:t>。</w:t>
      </w:r>
    </w:p>
    <w:p w14:paraId="68D08FC5">
      <w:pPr>
        <w:pStyle w:val="14"/>
        <w:numPr>
          <w:ilvl w:val="0"/>
          <w:numId w:val="0"/>
        </w:numPr>
        <w:ind w:leftChars="0" w:firstLine="440" w:firstLineChars="200"/>
        <w:rPr>
          <w:rFonts w:hint="default"/>
          <w:lang w:val="en-US" w:eastAsia="zh-CN"/>
        </w:rPr>
      </w:pPr>
      <w:r>
        <w:rPr>
          <w:rFonts w:hint="eastAsia"/>
          <w:b/>
          <w:bCs/>
          <w:lang w:val="en-US" w:eastAsia="zh-CN"/>
        </w:rPr>
        <w:t>3.验收方式：</w:t>
      </w:r>
      <w:r>
        <w:rPr>
          <w:rFonts w:hint="eastAsia"/>
          <w:lang w:val="en-US" w:eastAsia="zh-CN"/>
        </w:rPr>
        <w:t>按国家有关规定以及采购要求的质量要求和技术指标(包括每一项技术和商务要求的履约情况)、供应商的响应文件及承诺与合同约定标准进行验收；采购双方如对质量要求和技术指标的约定标准有相互抵触或异议的事项，由我院在国家有关规定、采购文件、响应文件及承诺与采购合同约定中按质量要求和技术指标比较优胜的原则确定该项的约定标准进行验收。</w:t>
      </w:r>
    </w:p>
    <w:p w14:paraId="5D389414">
      <w:pPr>
        <w:pStyle w:val="14"/>
        <w:numPr>
          <w:ilvl w:val="0"/>
          <w:numId w:val="0"/>
        </w:numPr>
        <w:ind w:leftChars="0" w:firstLine="440" w:firstLineChars="200"/>
        <w:rPr>
          <w:rFonts w:hint="eastAsia"/>
          <w:lang w:val="en-US" w:eastAsia="zh-CN"/>
        </w:rPr>
      </w:pPr>
      <w:r>
        <w:rPr>
          <w:rFonts w:hint="eastAsia"/>
          <w:b/>
          <w:bCs/>
          <w:lang w:val="en-US" w:eastAsia="zh-CN"/>
        </w:rPr>
        <w:t>4.</w:t>
      </w:r>
      <w:r>
        <w:rPr>
          <w:b/>
          <w:bCs/>
        </w:rPr>
        <w:t>付款方式</w:t>
      </w:r>
      <w:r>
        <w:t>：</w:t>
      </w:r>
      <w:r>
        <w:rPr>
          <w:rFonts w:hint="eastAsia"/>
          <w:lang w:eastAsia="zh-CN"/>
        </w:rPr>
        <w:t>一次性付清，</w:t>
      </w:r>
      <w:r>
        <w:rPr>
          <w:rFonts w:hint="eastAsia"/>
          <w:lang w:val="en-US" w:eastAsia="zh-CN"/>
        </w:rPr>
        <w:t>经采购人验收合格后，收到供应商提交的与合同总价相一致的合法、有效、完整的完税发票及凭证资料，通过采购人付款审签流程后15日内一次性支付合同总金额100%的款项。</w:t>
      </w:r>
    </w:p>
    <w:p w14:paraId="7AF0DADA">
      <w:pPr>
        <w:pStyle w:val="14"/>
        <w:numPr>
          <w:ilvl w:val="0"/>
          <w:numId w:val="0"/>
        </w:numPr>
        <w:ind w:firstLine="440" w:firstLineChars="200"/>
        <w:rPr>
          <w:rFonts w:hint="eastAsia" w:eastAsia="宋体"/>
          <w:b/>
          <w:bCs/>
          <w:lang w:val="en-US" w:eastAsia="zh-CN"/>
        </w:rPr>
      </w:pPr>
      <w:r>
        <w:rPr>
          <w:rFonts w:hint="eastAsia"/>
          <w:b/>
          <w:bCs/>
          <w:lang w:val="en-US" w:eastAsia="zh-CN"/>
        </w:rPr>
        <w:t>5.</w:t>
      </w:r>
      <w:r>
        <w:rPr>
          <w:rFonts w:hint="eastAsia" w:ascii="Arial" w:hAnsi="Arial" w:eastAsia="等线" w:cs="Arial"/>
          <w:b/>
          <w:bCs/>
          <w:sz w:val="22"/>
          <w:szCs w:val="22"/>
          <w:lang w:val="en-US" w:eastAsia="zh-CN" w:bidi="ar-SA"/>
        </w:rPr>
        <w:t>履约保证金及缴纳形式：</w:t>
      </w:r>
      <w:r>
        <w:rPr>
          <w:rFonts w:ascii="宋体" w:hAnsi="宋体" w:eastAsia="宋体" w:cs="宋体"/>
          <w:sz w:val="24"/>
          <w:szCs w:val="24"/>
        </w:rPr>
        <w:t>缴纳比例5%</w:t>
      </w:r>
      <w:r>
        <w:rPr>
          <w:rFonts w:hint="eastAsia" w:ascii="宋体" w:hAnsi="宋体" w:eastAsia="宋体" w:cs="宋体"/>
          <w:sz w:val="24"/>
          <w:szCs w:val="24"/>
          <w:lang w:eastAsia="zh-CN"/>
        </w:rPr>
        <w:t>；</w:t>
      </w:r>
      <w:r>
        <w:rPr>
          <w:rFonts w:ascii="宋体" w:hAnsi="宋体" w:eastAsia="宋体" w:cs="宋体"/>
          <w:sz w:val="24"/>
          <w:szCs w:val="24"/>
        </w:rPr>
        <w:t>缴纳方式：银行转账，支票/汇票/本票，保函/保险</w:t>
      </w:r>
      <w:r>
        <w:rPr>
          <w:rFonts w:hint="eastAsia" w:ascii="宋体" w:hAnsi="宋体" w:eastAsia="宋体" w:cs="宋体"/>
          <w:sz w:val="24"/>
          <w:szCs w:val="24"/>
          <w:lang w:eastAsia="zh-CN"/>
        </w:rPr>
        <w:t>。</w:t>
      </w:r>
    </w:p>
    <w:p w14:paraId="04664247">
      <w:pPr>
        <w:pStyle w:val="14"/>
        <w:numPr>
          <w:ilvl w:val="0"/>
          <w:numId w:val="0"/>
        </w:numPr>
        <w:ind w:firstLine="440" w:firstLineChars="200"/>
        <w:rPr>
          <w:rFonts w:hint="eastAsia"/>
          <w:lang w:val="en-US" w:eastAsia="zh-CN"/>
        </w:rPr>
      </w:pPr>
      <w:r>
        <w:rPr>
          <w:rFonts w:hint="eastAsia"/>
          <w:b/>
          <w:bCs/>
          <w:lang w:val="en-US" w:eastAsia="zh-CN"/>
        </w:rPr>
        <w:t>5.质保期限：</w:t>
      </w:r>
      <w:r>
        <w:rPr>
          <w:rFonts w:hint="eastAsia"/>
          <w:lang w:val="en-US" w:eastAsia="zh-CN"/>
        </w:rPr>
        <w:t>1年及以上。</w:t>
      </w:r>
    </w:p>
    <w:p w14:paraId="18006806">
      <w:pPr>
        <w:pStyle w:val="14"/>
        <w:numPr>
          <w:ilvl w:val="0"/>
          <w:numId w:val="0"/>
        </w:numPr>
        <w:ind w:firstLine="440" w:firstLineChars="200"/>
        <w:rPr>
          <w:rFonts w:hint="eastAsia"/>
          <w:lang w:val="en-US" w:eastAsia="zh-CN"/>
        </w:rPr>
      </w:pPr>
      <w:r>
        <w:rPr>
          <w:rFonts w:hint="eastAsia"/>
          <w:b/>
          <w:bCs/>
          <w:lang w:val="en-US" w:eastAsia="zh-CN"/>
        </w:rPr>
        <w:t>6.违约责任与解决争议的方法：</w:t>
      </w:r>
      <w:r>
        <w:rPr>
          <w:rFonts w:hint="eastAsia"/>
          <w:lang w:val="en-US" w:eastAsia="zh-CN"/>
        </w:rPr>
        <w:t>政府采购合同的履行、违约责任和解决争议的方法等适用《中华人民共和国民法典》。</w:t>
      </w:r>
    </w:p>
    <w:p w14:paraId="17AE9FF2">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r>
        <w:rPr>
          <w:rFonts w:hint="eastAsia" w:ascii="方正仿宋_GB2312" w:hAnsi="方正仿宋_GB2312" w:eastAsia="方正仿宋_GB2312" w:cs="方正仿宋_GB2312"/>
          <w:b/>
          <w:bCs/>
          <w:color w:val="000000"/>
          <w:kern w:val="0"/>
          <w:sz w:val="28"/>
          <w:szCs w:val="28"/>
          <w:vertAlign w:val="baseline"/>
          <w:lang w:val="en-US" w:eastAsia="zh-CN" w:bidi="ar-SA"/>
        </w:rPr>
        <w:t>四、报价要求</w:t>
      </w:r>
    </w:p>
    <w:p w14:paraId="631D65F1">
      <w:pPr>
        <w:pStyle w:val="9"/>
        <w:numPr>
          <w:ilvl w:val="0"/>
          <w:numId w:val="0"/>
        </w:numPr>
        <w:ind w:firstLine="480" w:firstLineChars="200"/>
        <w:jc w:val="both"/>
        <w:rPr>
          <w:rFonts w:hint="eastAsia" w:ascii="仿宋_GB2312" w:hAnsi="仿宋_GB2312" w:eastAsia="仿宋_GB2312" w:cs="仿宋_GB2312"/>
          <w:color w:val="FF0000"/>
          <w:sz w:val="32"/>
          <w:szCs w:val="32"/>
          <w:lang w:val="en-US" w:eastAsia="zh-CN"/>
        </w:rPr>
      </w:pPr>
      <w:r>
        <w:rPr>
          <w:rFonts w:hint="eastAsia" w:ascii="Arial" w:hAnsi="Arial" w:eastAsia="宋体" w:cs="Arial"/>
          <w:color w:val="000000"/>
          <w:sz w:val="24"/>
          <w:szCs w:val="24"/>
          <w:lang w:val="en-US" w:eastAsia="zh-CN" w:bidi="ar-SA"/>
        </w:rPr>
        <w:t>本项目最高限价</w:t>
      </w:r>
      <w:r>
        <w:rPr>
          <w:rFonts w:hint="eastAsia" w:ascii="Arial" w:hAnsi="Arial" w:eastAsia="宋体" w:cs="Arial"/>
          <w:color w:val="auto"/>
          <w:sz w:val="24"/>
          <w:szCs w:val="24"/>
          <w:lang w:val="en-US" w:eastAsia="zh-CN" w:bidi="ar-SA"/>
        </w:rPr>
        <w:t>：</w:t>
      </w:r>
      <w:r>
        <w:rPr>
          <w:rFonts w:hint="eastAsia" w:ascii="Arial" w:hAnsi="Arial" w:cs="Arial"/>
          <w:color w:val="auto"/>
          <w:sz w:val="24"/>
          <w:szCs w:val="24"/>
          <w:lang w:val="en-US" w:eastAsia="zh-CN" w:bidi="ar-SA"/>
        </w:rPr>
        <w:t>19.68</w:t>
      </w:r>
      <w:r>
        <w:rPr>
          <w:rFonts w:hint="eastAsia" w:ascii="Arial" w:hAnsi="Arial" w:eastAsia="宋体" w:cs="Arial"/>
          <w:color w:val="000000"/>
          <w:sz w:val="24"/>
          <w:szCs w:val="24"/>
          <w:lang w:val="en-US" w:eastAsia="zh-CN" w:bidi="ar-SA"/>
        </w:rPr>
        <w:t>万元，报价应包含与该项目有关的人工、设备、税费等一切费用。</w:t>
      </w:r>
    </w:p>
    <w:p w14:paraId="081639A5">
      <w:pPr>
        <w:pStyle w:val="5"/>
        <w:numPr>
          <w:ilvl w:val="0"/>
          <w:numId w:val="0"/>
        </w:numPr>
        <w:spacing w:line="360" w:lineRule="auto"/>
        <w:ind w:leftChars="0" w:firstLine="321" w:firstLineChars="1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b/>
          <w:bCs/>
          <w:color w:val="auto"/>
          <w:kern w:val="2"/>
          <w:sz w:val="32"/>
          <w:szCs w:val="32"/>
          <w:highlight w:val="none"/>
          <w:lang w:val="en-US" w:eastAsia="zh-CN" w:bidi="ar-SA"/>
        </w:rPr>
        <w:t>本章采购要求中的条款为本次采购项目的实质性要求，供应商应全部满足，否则视为响应文件无效。</w:t>
      </w:r>
    </w:p>
    <w:p w14:paraId="4400DD84">
      <w:pPr>
        <w:rPr>
          <w:rFonts w:hint="eastAsia" w:ascii="方正仿宋_GB2312" w:hAnsi="方正仿宋_GB2312" w:eastAsia="方正仿宋_GB2312" w:cs="方正仿宋_GB2312"/>
          <w:i w:val="0"/>
          <w:iCs w:val="0"/>
          <w:caps w:val="0"/>
          <w:color w:val="000000"/>
          <w:spacing w:val="0"/>
          <w:sz w:val="24"/>
          <w:szCs w:val="24"/>
          <w:shd w:val="clear" w:fill="FFFFFF"/>
          <w:vertAlign w:val="baseline"/>
          <w:lang w:val="en-US" w:eastAsia="zh-CN"/>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BA74E7B-42FE-4BA2-830A-19DD7CF42A09}"/>
  </w:font>
  <w:font w:name="Arial">
    <w:panose1 w:val="020B0604020202020204"/>
    <w:charset w:val="01"/>
    <w:family w:val="swiss"/>
    <w:pitch w:val="default"/>
    <w:sig w:usb0="E0002AFF" w:usb1="C0007843" w:usb2="00000009" w:usb3="00000000" w:csb0="400001FF" w:csb1="FFFF0000"/>
    <w:embedRegular r:id="rId2" w:fontKey="{C1B35EE4-8BD4-4920-9306-ACA5860D058B}"/>
  </w:font>
  <w:font w:name="黑体">
    <w:altName w:val="hakuyoxingshu7000"/>
    <w:panose1 w:val="02010609060101010101"/>
    <w:charset w:val="86"/>
    <w:family w:val="auto"/>
    <w:pitch w:val="default"/>
    <w:sig w:usb0="800002BF" w:usb1="38CF7CFA" w:usb2="00000016" w:usb3="00000000" w:csb0="00040001" w:csb1="00000000"/>
    <w:embedRegular r:id="rId3" w:fontKey="{090DF621-427D-4C61-A6AE-112DAB11A78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embedRegular r:id="rId4" w:fontKey="{D2D76127-772B-45EB-845A-083048995E01}"/>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5" w:fontKey="{8050187A-19AE-43EA-AB3C-2ACFA81FDAC9}"/>
  </w:font>
  <w:font w:name="方正小标宋简体">
    <w:panose1 w:val="02000000000000000000"/>
    <w:charset w:val="86"/>
    <w:family w:val="auto"/>
    <w:pitch w:val="default"/>
    <w:sig w:usb0="00000001" w:usb1="08000000" w:usb2="00000000" w:usb3="00000000" w:csb0="00040000" w:csb1="00000000"/>
    <w:embedRegular r:id="rId6" w:fontKey="{71BE176B-85DF-4E34-96ED-0BA54C8B129F}"/>
  </w:font>
  <w:font w:name="仿宋_GB2312">
    <w:panose1 w:val="02010609030101010101"/>
    <w:charset w:val="86"/>
    <w:family w:val="auto"/>
    <w:pitch w:val="default"/>
    <w:sig w:usb0="00000001" w:usb1="080E0000" w:usb2="00000000" w:usb3="00000000" w:csb0="00040000" w:csb1="00000000"/>
    <w:embedRegular r:id="rId7" w:fontKey="{FA96FB0D-4E80-46B2-840B-0650F7CB80DE}"/>
  </w:font>
  <w:font w:name="仿宋">
    <w:panose1 w:val="02010609060101010101"/>
    <w:charset w:val="86"/>
    <w:family w:val="auto"/>
    <w:pitch w:val="default"/>
    <w:sig w:usb0="800002BF" w:usb1="38CF7CFA" w:usb2="00000016" w:usb3="00000000" w:csb0="00040001" w:csb1="00000000"/>
    <w:embedRegular r:id="rId8" w:fontKey="{ACD797A9-30D8-4E29-BC08-4CB0D0BADDBB}"/>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185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3BA1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3BA1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pStyle w:val="16"/>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MDAyMTk2MDA1YzQxNGRhOWY0OTljMTBhMjEwZjcifQ=="/>
  </w:docVars>
  <w:rsids>
    <w:rsidRoot w:val="797A28EE"/>
    <w:rsid w:val="048D4113"/>
    <w:rsid w:val="0CE21123"/>
    <w:rsid w:val="0E542079"/>
    <w:rsid w:val="0EEA7E55"/>
    <w:rsid w:val="17750CA3"/>
    <w:rsid w:val="1C2B7D21"/>
    <w:rsid w:val="1C3500A0"/>
    <w:rsid w:val="1D1135A6"/>
    <w:rsid w:val="1D5F2712"/>
    <w:rsid w:val="24776234"/>
    <w:rsid w:val="271F5F04"/>
    <w:rsid w:val="27F02ECD"/>
    <w:rsid w:val="29AA6040"/>
    <w:rsid w:val="2EF67B70"/>
    <w:rsid w:val="37EE7B0E"/>
    <w:rsid w:val="417664B6"/>
    <w:rsid w:val="4E552276"/>
    <w:rsid w:val="64F5163D"/>
    <w:rsid w:val="718B4C48"/>
    <w:rsid w:val="72FC1993"/>
    <w:rsid w:val="797A28EE"/>
    <w:rsid w:val="7BDA6192"/>
    <w:rsid w:val="7E1A4E02"/>
    <w:rsid w:val="7FDF7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Body Text First Indent"/>
    <w:basedOn w:val="4"/>
    <w:unhideWhenUsed/>
    <w:qFormat/>
    <w:uiPriority w:val="99"/>
    <w:pPr>
      <w:ind w:firstLine="420" w:firstLineChars="100"/>
    </w:pPr>
  </w:style>
  <w:style w:type="paragraph" w:styleId="6">
    <w:name w:val="Body Text Indent"/>
    <w:basedOn w:val="1"/>
    <w:qFormat/>
    <w:uiPriority w:val="0"/>
    <w:pPr>
      <w:ind w:firstLine="538" w:firstLineChars="192"/>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qFormat/>
    <w:uiPriority w:val="0"/>
    <w:pPr>
      <w:spacing w:after="120"/>
      <w:ind w:left="420" w:leftChars="200" w:firstLine="420" w:firstLineChars="200"/>
    </w:pPr>
    <w:rPr>
      <w:rFonts w:ascii="Calibri" w:hAnsi="Calibri" w:eastAsia="宋体" w:cs="Times New Roman"/>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5">
    <w:name w:val="U_正文2"/>
    <w:basedOn w:val="1"/>
    <w:qFormat/>
    <w:uiPriority w:val="0"/>
    <w:pPr>
      <w:spacing w:before="31" w:beforeLines="10" w:after="31" w:afterLines="10" w:line="300" w:lineRule="auto"/>
    </w:pPr>
    <w:rPr>
      <w:kern w:val="2"/>
      <w:sz w:val="24"/>
    </w:rPr>
  </w:style>
  <w:style w:type="paragraph" w:customStyle="1" w:styleId="16">
    <w:name w:val="U_编号2"/>
    <w:basedOn w:val="1"/>
    <w:qFormat/>
    <w:uiPriority w:val="0"/>
    <w:pPr>
      <w:numPr>
        <w:ilvl w:val="0"/>
        <w:numId w:val="1"/>
      </w:numPr>
      <w:spacing w:before="31" w:beforeLines="10" w:after="31" w:afterLines="10" w:line="300" w:lineRule="auto"/>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4652</Words>
  <Characters>5212</Characters>
  <Lines>0</Lines>
  <Paragraphs>0</Paragraphs>
  <TotalTime>15</TotalTime>
  <ScaleCrop>false</ScaleCrop>
  <LinksUpToDate>false</LinksUpToDate>
  <CharactersWithSpaces>5225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2025-03-03T02:20:00Z</dcterms:created>
  <dc:creator>詹功强</dc:creator>
  <cp:lastModifiedBy>王旭</cp:lastModifiedBy>
  <cp:lastPrinted>2025-07-23T00:31:00Z</cp:lastPrinted>
  <dcterms:modified xsi:type="dcterms:W3CDTF">2025-10-20T01:14:00Z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66B0D44A9D21473DB3BE8EB606528FE3_13</vt:lpwstr>
  </property>
  <property fmtid="{D5CDD505-2E9C-101B-9397-08002B2CF9AE}" pid="4" name="KSOTemplateDocerSaveRecord">
    <vt:lpwstr>eyJoZGlkIjoiNzc5YTdkNjg0NGZhYmEyZGM3NmJiMTM5NzBmY2RmNDAiLCJ1c2VySWQiOiIxNjUxMjY5MTU1In0=</vt:lpwstr>
  </property>
</Properties>
</file>