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408"/>
        <w:gridCol w:w="926"/>
        <w:gridCol w:w="5167"/>
        <w:gridCol w:w="941"/>
      </w:tblGrid>
      <w:tr w14:paraId="26AB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blHeader/>
          <w:jc w:val="center"/>
        </w:trPr>
        <w:tc>
          <w:tcPr>
            <w:tcW w:w="714" w:type="dxa"/>
            <w:noWrap w:val="0"/>
            <w:vAlign w:val="center"/>
          </w:tcPr>
          <w:p w14:paraId="4F88236F">
            <w:pPr>
              <w:adjustRightInd/>
              <w:snapToGrid/>
              <w:spacing w:line="320" w:lineRule="exact"/>
              <w:ind w:left="55" w:leftChars="23" w:right="36" w:rightChars="15" w:firstLine="28"/>
              <w:jc w:val="center"/>
              <w:rPr>
                <w:rFonts w:cs="宋体"/>
                <w:b/>
                <w:bCs/>
                <w:color w:val="auto"/>
                <w:highlight w:val="none"/>
              </w:rPr>
            </w:pPr>
            <w:bookmarkStart w:id="0" w:name="_Toc7480"/>
            <w:bookmarkStart w:id="1" w:name="_Toc29219"/>
            <w:r>
              <w:rPr>
                <w:rFonts w:hint="eastAsia" w:cs="宋体"/>
                <w:b/>
                <w:bCs/>
                <w:color w:val="auto"/>
                <w:highlight w:val="none"/>
              </w:rPr>
              <w:t>序号</w:t>
            </w:r>
          </w:p>
        </w:tc>
        <w:tc>
          <w:tcPr>
            <w:tcW w:w="1408" w:type="dxa"/>
            <w:noWrap w:val="0"/>
            <w:vAlign w:val="center"/>
          </w:tcPr>
          <w:p w14:paraId="526897AF">
            <w:pPr>
              <w:adjustRightInd/>
              <w:snapToGrid/>
              <w:spacing w:line="320" w:lineRule="exact"/>
              <w:ind w:left="55" w:leftChars="23" w:right="36" w:rightChars="15" w:firstLine="28"/>
              <w:jc w:val="center"/>
              <w:rPr>
                <w:rFonts w:cs="宋体"/>
                <w:b/>
                <w:bCs/>
                <w:color w:val="auto"/>
                <w:highlight w:val="none"/>
              </w:rPr>
            </w:pPr>
            <w:r>
              <w:rPr>
                <w:rFonts w:hint="eastAsia" w:cs="宋体"/>
                <w:b/>
                <w:bCs/>
                <w:color w:val="auto"/>
                <w:highlight w:val="none"/>
              </w:rPr>
              <w:t>评分因素</w:t>
            </w:r>
          </w:p>
          <w:p w14:paraId="01DEEF7D">
            <w:pPr>
              <w:adjustRightInd/>
              <w:snapToGrid/>
              <w:spacing w:line="320" w:lineRule="exact"/>
              <w:ind w:left="55" w:leftChars="23" w:right="36" w:rightChars="15" w:firstLine="28"/>
              <w:jc w:val="center"/>
              <w:rPr>
                <w:rFonts w:cs="宋体"/>
                <w:b/>
                <w:bCs/>
                <w:color w:val="auto"/>
                <w:highlight w:val="none"/>
              </w:rPr>
            </w:pPr>
            <w:r>
              <w:rPr>
                <w:rFonts w:hint="eastAsia" w:cs="宋体"/>
                <w:b/>
                <w:bCs/>
                <w:color w:val="auto"/>
                <w:highlight w:val="none"/>
              </w:rPr>
              <w:t>及权重</w:t>
            </w:r>
          </w:p>
        </w:tc>
        <w:tc>
          <w:tcPr>
            <w:tcW w:w="926" w:type="dxa"/>
            <w:noWrap w:val="0"/>
            <w:vAlign w:val="center"/>
          </w:tcPr>
          <w:p w14:paraId="3CBEB5B7">
            <w:pPr>
              <w:adjustRightInd/>
              <w:snapToGrid/>
              <w:spacing w:line="320" w:lineRule="exact"/>
              <w:ind w:left="55" w:leftChars="23" w:right="36" w:rightChars="15"/>
              <w:jc w:val="center"/>
              <w:rPr>
                <w:rFonts w:cs="宋体"/>
                <w:b/>
                <w:bCs/>
                <w:color w:val="auto"/>
                <w:highlight w:val="none"/>
              </w:rPr>
            </w:pPr>
            <w:r>
              <w:rPr>
                <w:rFonts w:hint="eastAsia" w:cs="宋体"/>
                <w:b/>
                <w:bCs/>
                <w:color w:val="auto"/>
                <w:highlight w:val="none"/>
              </w:rPr>
              <w:t>分 值</w:t>
            </w:r>
          </w:p>
        </w:tc>
        <w:tc>
          <w:tcPr>
            <w:tcW w:w="5167" w:type="dxa"/>
            <w:noWrap w:val="0"/>
            <w:vAlign w:val="center"/>
          </w:tcPr>
          <w:p w14:paraId="5594A309">
            <w:pPr>
              <w:adjustRightInd/>
              <w:snapToGrid/>
              <w:spacing w:line="320" w:lineRule="exact"/>
              <w:ind w:left="55" w:leftChars="23" w:right="36" w:rightChars="15" w:firstLine="28"/>
              <w:jc w:val="center"/>
              <w:rPr>
                <w:rFonts w:cs="宋体"/>
                <w:b/>
                <w:bCs/>
                <w:color w:val="auto"/>
                <w:highlight w:val="none"/>
              </w:rPr>
            </w:pPr>
            <w:r>
              <w:rPr>
                <w:rFonts w:hint="eastAsia" w:cs="宋体"/>
                <w:b/>
                <w:bCs/>
                <w:color w:val="auto"/>
                <w:highlight w:val="none"/>
              </w:rPr>
              <w:t>评分标准</w:t>
            </w:r>
          </w:p>
        </w:tc>
        <w:tc>
          <w:tcPr>
            <w:tcW w:w="941" w:type="dxa"/>
            <w:noWrap w:val="0"/>
            <w:vAlign w:val="center"/>
          </w:tcPr>
          <w:p w14:paraId="6AA1D3DB">
            <w:pPr>
              <w:adjustRightInd/>
              <w:snapToGrid/>
              <w:spacing w:line="320" w:lineRule="exact"/>
              <w:ind w:left="55" w:leftChars="23" w:right="36" w:rightChars="15"/>
              <w:jc w:val="both"/>
              <w:rPr>
                <w:rFonts w:cs="宋体"/>
                <w:b/>
                <w:bCs/>
                <w:color w:val="auto"/>
                <w:highlight w:val="none"/>
              </w:rPr>
            </w:pPr>
            <w:r>
              <w:rPr>
                <w:rFonts w:hint="eastAsia" w:cs="宋体"/>
                <w:b/>
                <w:bCs/>
                <w:color w:val="auto"/>
                <w:highlight w:val="none"/>
              </w:rPr>
              <w:t>说  明</w:t>
            </w:r>
          </w:p>
        </w:tc>
      </w:tr>
      <w:tr w14:paraId="4F5B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714" w:type="dxa"/>
            <w:noWrap w:val="0"/>
            <w:vAlign w:val="center"/>
          </w:tcPr>
          <w:p w14:paraId="6F7A5E08">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rPr>
              <w:t>一</w:t>
            </w:r>
          </w:p>
        </w:tc>
        <w:tc>
          <w:tcPr>
            <w:tcW w:w="1408" w:type="dxa"/>
            <w:noWrap w:val="0"/>
            <w:vAlign w:val="center"/>
          </w:tcPr>
          <w:p w14:paraId="5D18555F">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rPr>
              <w:t>报价</w:t>
            </w:r>
            <w:r>
              <w:rPr>
                <w:rFonts w:hint="eastAsia" w:cs="宋体"/>
                <w:color w:val="auto"/>
                <w:highlight w:val="none"/>
                <w:lang w:val="en-US" w:eastAsia="zh-CN"/>
              </w:rPr>
              <w:t>5</w:t>
            </w:r>
            <w:r>
              <w:rPr>
                <w:rFonts w:hint="eastAsia" w:cs="宋体"/>
                <w:color w:val="auto"/>
                <w:highlight w:val="none"/>
              </w:rPr>
              <w:t>0%</w:t>
            </w:r>
          </w:p>
        </w:tc>
        <w:tc>
          <w:tcPr>
            <w:tcW w:w="926" w:type="dxa"/>
            <w:noWrap w:val="0"/>
            <w:vAlign w:val="center"/>
          </w:tcPr>
          <w:p w14:paraId="32904D79">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lang w:val="en-US" w:eastAsia="zh-CN"/>
              </w:rPr>
              <w:t>50</w:t>
            </w:r>
            <w:r>
              <w:rPr>
                <w:rFonts w:hint="eastAsia" w:cs="宋体"/>
                <w:color w:val="auto"/>
                <w:highlight w:val="none"/>
              </w:rPr>
              <w:t>分</w:t>
            </w:r>
          </w:p>
        </w:tc>
        <w:tc>
          <w:tcPr>
            <w:tcW w:w="5167" w:type="dxa"/>
            <w:noWrap w:val="0"/>
            <w:vAlign w:val="center"/>
          </w:tcPr>
          <w:p w14:paraId="0614A9DD">
            <w:pPr>
              <w:rPr>
                <w:color w:val="auto"/>
                <w:highlight w:val="none"/>
              </w:rPr>
            </w:pPr>
            <w:r>
              <w:rPr>
                <w:color w:val="auto"/>
                <w:highlight w:val="none"/>
              </w:rPr>
              <w:t>满足磋商文件要求且最后报价最低的</w:t>
            </w:r>
            <w:r>
              <w:rPr>
                <w:rFonts w:hint="eastAsia"/>
                <w:color w:val="auto"/>
                <w:highlight w:val="none"/>
              </w:rPr>
              <w:t>供应商</w:t>
            </w:r>
            <w:r>
              <w:rPr>
                <w:color w:val="auto"/>
                <w:highlight w:val="none"/>
              </w:rPr>
              <w:t>的价格为磋商基准价，其价格分为满分。其他</w:t>
            </w:r>
            <w:r>
              <w:rPr>
                <w:rFonts w:hint="eastAsia"/>
                <w:color w:val="auto"/>
                <w:highlight w:val="none"/>
              </w:rPr>
              <w:t>供应商</w:t>
            </w:r>
            <w:r>
              <w:rPr>
                <w:color w:val="auto"/>
                <w:highlight w:val="none"/>
              </w:rPr>
              <w:t>的价格分统一按照下列公式计算</w:t>
            </w:r>
            <w:r>
              <w:rPr>
                <w:rFonts w:hint="eastAsia"/>
                <w:color w:val="auto"/>
                <w:highlight w:val="none"/>
              </w:rPr>
              <w:t>：</w:t>
            </w:r>
          </w:p>
          <w:p w14:paraId="3E551EB4">
            <w:pPr>
              <w:rPr>
                <w:color w:val="auto"/>
                <w:highlight w:val="none"/>
              </w:rPr>
            </w:pPr>
            <w:r>
              <w:rPr>
                <w:color w:val="auto"/>
                <w:highlight w:val="none"/>
              </w:rPr>
              <w:t>磋商报价得分=(磋商基准价/最后磋</w:t>
            </w:r>
            <w:r>
              <w:rPr>
                <w:rFonts w:hint="eastAsia"/>
                <w:color w:val="auto"/>
                <w:highlight w:val="none"/>
                <w:lang w:eastAsia="zh-CN"/>
              </w:rPr>
              <w:t>商</w:t>
            </w:r>
            <w:r>
              <w:rPr>
                <w:color w:val="auto"/>
                <w:highlight w:val="none"/>
              </w:rPr>
              <w:t>报</w:t>
            </w:r>
            <w:r>
              <w:rPr>
                <w:rFonts w:hint="eastAsia"/>
                <w:color w:val="auto"/>
                <w:highlight w:val="none"/>
              </w:rPr>
              <w:t>价)</w:t>
            </w:r>
            <w:r>
              <w:rPr>
                <w:color w:val="auto"/>
                <w:highlight w:val="none"/>
              </w:rPr>
              <w:t>X</w:t>
            </w:r>
            <w:r>
              <w:rPr>
                <w:rFonts w:hint="eastAsia"/>
                <w:color w:val="auto"/>
                <w:highlight w:val="none"/>
                <w:lang w:val="en-US" w:eastAsia="zh-CN"/>
              </w:rPr>
              <w:t>5</w:t>
            </w:r>
            <w:r>
              <w:rPr>
                <w:color w:val="auto"/>
                <w:highlight w:val="none"/>
              </w:rPr>
              <w:t>0%X100</w:t>
            </w:r>
          </w:p>
          <w:p w14:paraId="33F44C92">
            <w:pPr>
              <w:rPr>
                <w:rFonts w:cs="宋体"/>
                <w:color w:val="auto"/>
                <w:highlight w:val="none"/>
              </w:rPr>
            </w:pPr>
            <w:r>
              <w:rPr>
                <w:color w:val="auto"/>
                <w:highlight w:val="none"/>
              </w:rPr>
              <w:t>注</w:t>
            </w:r>
            <w:r>
              <w:rPr>
                <w:rFonts w:hint="eastAsia"/>
                <w:color w:val="auto"/>
                <w:highlight w:val="none"/>
              </w:rPr>
              <w:t>：</w:t>
            </w:r>
            <w:r>
              <w:rPr>
                <w:color w:val="auto"/>
                <w:highlight w:val="none"/>
              </w:rPr>
              <w:t>项目评审过程中，不得去掉最后报价中的最高报价和最低报价。</w:t>
            </w:r>
          </w:p>
        </w:tc>
        <w:tc>
          <w:tcPr>
            <w:tcW w:w="941" w:type="dxa"/>
            <w:noWrap w:val="0"/>
            <w:vAlign w:val="center"/>
          </w:tcPr>
          <w:p w14:paraId="7FE1F60F">
            <w:pPr>
              <w:adjustRightInd/>
              <w:snapToGrid/>
              <w:spacing w:line="320" w:lineRule="exact"/>
              <w:ind w:left="55" w:leftChars="23" w:right="36" w:rightChars="15"/>
              <w:jc w:val="center"/>
              <w:rPr>
                <w:rFonts w:cs="宋体"/>
                <w:color w:val="auto"/>
                <w:highlight w:val="none"/>
              </w:rPr>
            </w:pPr>
            <w:r>
              <w:rPr>
                <w:rFonts w:hint="eastAsia" w:cs="宋体"/>
                <w:color w:val="auto"/>
                <w:highlight w:val="none"/>
              </w:rPr>
              <w:t>共同评</w:t>
            </w:r>
          </w:p>
          <w:p w14:paraId="04D6AE62">
            <w:pPr>
              <w:adjustRightInd/>
              <w:snapToGrid/>
              <w:spacing w:line="320" w:lineRule="exact"/>
              <w:ind w:left="55" w:leftChars="23" w:right="36" w:rightChars="15"/>
              <w:jc w:val="center"/>
              <w:rPr>
                <w:rFonts w:cs="宋体"/>
                <w:color w:val="auto"/>
                <w:highlight w:val="none"/>
              </w:rPr>
            </w:pPr>
            <w:r>
              <w:rPr>
                <w:rFonts w:hint="eastAsia" w:cs="宋体"/>
                <w:color w:val="auto"/>
                <w:highlight w:val="none"/>
              </w:rPr>
              <w:t>分因素</w:t>
            </w:r>
          </w:p>
        </w:tc>
      </w:tr>
      <w:tr w14:paraId="3E12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14" w:type="dxa"/>
            <w:noWrap w:val="0"/>
            <w:vAlign w:val="center"/>
          </w:tcPr>
          <w:p w14:paraId="1F705E33">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rPr>
              <w:t>二</w:t>
            </w:r>
          </w:p>
        </w:tc>
        <w:tc>
          <w:tcPr>
            <w:tcW w:w="1408" w:type="dxa"/>
            <w:noWrap w:val="0"/>
            <w:vAlign w:val="center"/>
          </w:tcPr>
          <w:p w14:paraId="0DF3D46B">
            <w:pPr>
              <w:adjustRightInd/>
              <w:snapToGrid/>
              <w:spacing w:line="320" w:lineRule="exact"/>
              <w:ind w:left="55" w:leftChars="23" w:right="36" w:rightChars="15" w:firstLine="28"/>
              <w:jc w:val="center"/>
              <w:rPr>
                <w:rFonts w:cs="宋体"/>
                <w:color w:val="auto"/>
                <w:highlight w:val="none"/>
              </w:rPr>
            </w:pPr>
          </w:p>
          <w:p w14:paraId="43A1EB19">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rPr>
              <w:t>施工组织设计</w:t>
            </w:r>
            <w:r>
              <w:rPr>
                <w:rFonts w:hint="eastAsia" w:cs="宋体"/>
                <w:color w:val="auto"/>
                <w:highlight w:val="none"/>
                <w:lang w:val="en-US" w:eastAsia="zh-CN"/>
              </w:rPr>
              <w:t>34</w:t>
            </w:r>
            <w:r>
              <w:rPr>
                <w:rFonts w:hint="eastAsia" w:cs="宋体"/>
                <w:color w:val="auto"/>
                <w:highlight w:val="none"/>
              </w:rPr>
              <w:t>%</w:t>
            </w:r>
          </w:p>
        </w:tc>
        <w:tc>
          <w:tcPr>
            <w:tcW w:w="926" w:type="dxa"/>
            <w:noWrap w:val="0"/>
            <w:vAlign w:val="center"/>
          </w:tcPr>
          <w:p w14:paraId="45B8A1A9">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lang w:val="en-US" w:eastAsia="zh-CN"/>
              </w:rPr>
              <w:t>30</w:t>
            </w:r>
            <w:r>
              <w:rPr>
                <w:rFonts w:hint="eastAsia" w:cs="宋体"/>
                <w:color w:val="auto"/>
                <w:highlight w:val="none"/>
              </w:rPr>
              <w:t>分</w:t>
            </w:r>
          </w:p>
        </w:tc>
        <w:tc>
          <w:tcPr>
            <w:tcW w:w="5167" w:type="dxa"/>
            <w:noWrap w:val="0"/>
            <w:vAlign w:val="center"/>
          </w:tcPr>
          <w:p w14:paraId="10CB9553">
            <w:pPr>
              <w:rPr>
                <w:rFonts w:hint="default" w:eastAsia="宋体"/>
                <w:color w:val="auto"/>
                <w:highlight w:val="none"/>
                <w:lang w:val="en-US" w:eastAsia="zh-CN"/>
              </w:rPr>
            </w:pPr>
            <w:r>
              <w:rPr>
                <w:rFonts w:hint="eastAsia"/>
                <w:color w:val="auto"/>
                <w:highlight w:val="none"/>
              </w:rPr>
              <w:t>1.</w:t>
            </w:r>
            <w:r>
              <w:rPr>
                <w:color w:val="auto"/>
                <w:highlight w:val="none"/>
              </w:rPr>
              <w:t>项目概况分析</w:t>
            </w:r>
            <w:r>
              <w:rPr>
                <w:rFonts w:hint="eastAsia"/>
                <w:color w:val="auto"/>
                <w:highlight w:val="none"/>
              </w:rPr>
              <w:t>：供应商</w:t>
            </w:r>
            <w:r>
              <w:rPr>
                <w:color w:val="auto"/>
                <w:highlight w:val="none"/>
              </w:rPr>
              <w:t>结合本项目给定的图纸、工程量清单及现场踏勘作出详细的项目概况分析，包括①建筑设计概况②结构设计概况③建筑技术条件④本工程的设计特点与施工难点及重点等内容</w:t>
            </w:r>
            <w:r>
              <w:rPr>
                <w:rFonts w:hint="eastAsia"/>
                <w:color w:val="auto"/>
                <w:highlight w:val="none"/>
              </w:rPr>
              <w:t>进行评审：上述</w:t>
            </w:r>
            <w:r>
              <w:rPr>
                <w:rFonts w:hint="eastAsia"/>
                <w:color w:val="auto"/>
                <w:highlight w:val="none"/>
                <w:lang w:val="en-US" w:eastAsia="zh-CN"/>
              </w:rPr>
              <w:t>四项</w:t>
            </w:r>
            <w:r>
              <w:rPr>
                <w:rFonts w:hint="eastAsia"/>
                <w:color w:val="auto"/>
                <w:highlight w:val="none"/>
              </w:rPr>
              <w:t>内容均符合实际情况、内容完善详细、描述准确、完全响应采购要求的得</w:t>
            </w:r>
            <w:r>
              <w:rPr>
                <w:rFonts w:hint="eastAsia"/>
                <w:color w:val="auto"/>
                <w:highlight w:val="none"/>
                <w:lang w:val="en-US" w:eastAsia="zh-CN"/>
              </w:rPr>
              <w:t>4</w:t>
            </w:r>
            <w:r>
              <w:rPr>
                <w:rFonts w:hint="eastAsia"/>
                <w:color w:val="auto"/>
                <w:highlight w:val="none"/>
              </w:rPr>
              <w:t>分；每有一项存在内容错误(内容错误指：项目名称、实施地点、涉及的规范、标准与本项目要求不一致</w:t>
            </w:r>
            <w:r>
              <w:rPr>
                <w:rFonts w:hint="eastAsia"/>
                <w:color w:val="auto"/>
                <w:highlight w:val="none"/>
                <w:lang w:eastAsia="zh-CN"/>
              </w:rPr>
              <w:t>、</w:t>
            </w:r>
            <w:r>
              <w:rPr>
                <w:rFonts w:hint="eastAsia"/>
                <w:color w:val="auto"/>
                <w:highlight w:val="none"/>
              </w:rPr>
              <w:t>规划与项目建设特点不匹配</w:t>
            </w:r>
            <w:r>
              <w:rPr>
                <w:rFonts w:hint="eastAsia"/>
                <w:color w:val="auto"/>
                <w:highlight w:val="none"/>
                <w:lang w:eastAsia="zh-CN"/>
              </w:rPr>
              <w:t>、</w:t>
            </w:r>
            <w:r>
              <w:rPr>
                <w:rFonts w:hint="eastAsia"/>
                <w:color w:val="auto"/>
                <w:highlight w:val="none"/>
              </w:rPr>
              <w:t>施工准备与开工要求不匹配</w:t>
            </w:r>
            <w:r>
              <w:rPr>
                <w:rFonts w:hint="eastAsia"/>
                <w:color w:val="auto"/>
                <w:highlight w:val="none"/>
                <w:lang w:eastAsia="zh-CN"/>
              </w:rPr>
              <w:t>、</w:t>
            </w:r>
            <w:r>
              <w:rPr>
                <w:rFonts w:hint="eastAsia"/>
                <w:color w:val="auto"/>
                <w:highlight w:val="none"/>
              </w:rPr>
              <w:t>技术工艺环节漏缺项)</w:t>
            </w:r>
            <w:r>
              <w:rPr>
                <w:rFonts w:hint="eastAsia"/>
                <w:color w:val="auto"/>
                <w:highlight w:val="none"/>
                <w:lang w:val="en-US" w:eastAsia="zh-CN"/>
              </w:rPr>
              <w:t>或</w:t>
            </w:r>
            <w:r>
              <w:rPr>
                <w:rFonts w:hint="eastAsia"/>
                <w:color w:val="auto"/>
                <w:highlight w:val="none"/>
              </w:rPr>
              <w:t>每缺少一项内容的扣</w:t>
            </w:r>
            <w:r>
              <w:rPr>
                <w:rFonts w:hint="eastAsia"/>
                <w:color w:val="auto"/>
                <w:highlight w:val="none"/>
                <w:lang w:val="en-US" w:eastAsia="zh-CN"/>
              </w:rPr>
              <w:t>1</w:t>
            </w:r>
            <w:r>
              <w:rPr>
                <w:rFonts w:hint="eastAsia"/>
                <w:color w:val="auto"/>
                <w:highlight w:val="none"/>
              </w:rPr>
              <w:t xml:space="preserve"> 分，扣完为止。</w:t>
            </w:r>
          </w:p>
          <w:p w14:paraId="4296FF09">
            <w:pPr>
              <w:rPr>
                <w:color w:val="auto"/>
                <w:highlight w:val="none"/>
              </w:rPr>
            </w:pPr>
            <w:r>
              <w:rPr>
                <w:rFonts w:hint="eastAsia"/>
                <w:color w:val="auto"/>
                <w:highlight w:val="none"/>
              </w:rPr>
              <w:t>2.施工方案与技术措施：根据供应商针对本项目提供的施工方案与技术措施，包括但不限于①工程概况；②施工总体部署(组织结构设置、总体部署）；③施工准备及施工部署(技术准备、施工现场准备、物资准备、劳动力准备等）；④施工方案与技术措施等内容进行评审：上述</w:t>
            </w:r>
            <w:r>
              <w:rPr>
                <w:rFonts w:hint="eastAsia"/>
                <w:color w:val="auto"/>
                <w:highlight w:val="none"/>
                <w:lang w:val="en-US" w:eastAsia="zh-CN"/>
              </w:rPr>
              <w:t>四项</w:t>
            </w:r>
            <w:r>
              <w:rPr>
                <w:rFonts w:hint="eastAsia"/>
                <w:color w:val="auto"/>
                <w:highlight w:val="none"/>
              </w:rPr>
              <w:t xml:space="preserve">内容均符合实际情况、内容完善详细、描述准确、完全响应采购要求的得 </w:t>
            </w:r>
            <w:r>
              <w:rPr>
                <w:rFonts w:hint="eastAsia"/>
                <w:color w:val="auto"/>
                <w:highlight w:val="none"/>
                <w:lang w:val="en-US" w:eastAsia="zh-CN"/>
              </w:rPr>
              <w:t>4</w:t>
            </w:r>
            <w:r>
              <w:rPr>
                <w:rFonts w:hint="eastAsia"/>
                <w:color w:val="auto"/>
                <w:highlight w:val="none"/>
              </w:rPr>
              <w:t>分；每有一项存在内容错误(内容错误指：项目名称、实施地点、涉及的规范、标准与本项目要求不一致</w:t>
            </w:r>
            <w:r>
              <w:rPr>
                <w:rFonts w:hint="eastAsia"/>
                <w:color w:val="auto"/>
                <w:highlight w:val="none"/>
                <w:lang w:eastAsia="zh-CN"/>
              </w:rPr>
              <w:t>、</w:t>
            </w:r>
            <w:r>
              <w:rPr>
                <w:rFonts w:hint="eastAsia"/>
                <w:color w:val="auto"/>
                <w:highlight w:val="none"/>
              </w:rPr>
              <w:t>规划与项目建设特点不匹配</w:t>
            </w:r>
            <w:r>
              <w:rPr>
                <w:rFonts w:hint="eastAsia"/>
                <w:color w:val="auto"/>
                <w:highlight w:val="none"/>
                <w:lang w:eastAsia="zh-CN"/>
              </w:rPr>
              <w:t>、</w:t>
            </w:r>
            <w:r>
              <w:rPr>
                <w:rFonts w:hint="eastAsia"/>
                <w:color w:val="auto"/>
                <w:highlight w:val="none"/>
              </w:rPr>
              <w:t>施工准备与开工要求不匹配</w:t>
            </w:r>
            <w:r>
              <w:rPr>
                <w:rFonts w:hint="eastAsia"/>
                <w:color w:val="auto"/>
                <w:highlight w:val="none"/>
                <w:lang w:eastAsia="zh-CN"/>
              </w:rPr>
              <w:t>、</w:t>
            </w:r>
            <w:r>
              <w:rPr>
                <w:rFonts w:hint="eastAsia"/>
                <w:color w:val="auto"/>
                <w:highlight w:val="none"/>
              </w:rPr>
              <w:t>技术工艺环节漏缺项)</w:t>
            </w:r>
            <w:r>
              <w:rPr>
                <w:rFonts w:hint="eastAsia"/>
                <w:color w:val="auto"/>
                <w:highlight w:val="none"/>
                <w:lang w:val="en-US" w:eastAsia="zh-CN"/>
              </w:rPr>
              <w:t>或每</w:t>
            </w:r>
            <w:r>
              <w:rPr>
                <w:rFonts w:hint="eastAsia"/>
                <w:color w:val="auto"/>
                <w:highlight w:val="none"/>
              </w:rPr>
              <w:t>缺少一项内容的扣</w:t>
            </w:r>
            <w:r>
              <w:rPr>
                <w:rFonts w:hint="eastAsia"/>
                <w:color w:val="auto"/>
                <w:highlight w:val="none"/>
                <w:lang w:val="en-US" w:eastAsia="zh-CN"/>
              </w:rPr>
              <w:t>2</w:t>
            </w:r>
            <w:r>
              <w:rPr>
                <w:rFonts w:hint="eastAsia"/>
                <w:color w:val="auto"/>
                <w:highlight w:val="none"/>
              </w:rPr>
              <w:t xml:space="preserve"> 分，扣完为止。</w:t>
            </w:r>
          </w:p>
          <w:p w14:paraId="4CEF131F">
            <w:pPr>
              <w:rPr>
                <w:rFonts w:hint="eastAsia"/>
                <w:color w:val="auto"/>
                <w:highlight w:val="none"/>
              </w:rPr>
            </w:pPr>
            <w:r>
              <w:rPr>
                <w:rFonts w:hint="eastAsia"/>
                <w:color w:val="auto"/>
                <w:highlight w:val="none"/>
              </w:rPr>
              <w:t>3.项目管理机构：根据供应商针对本项目提供的人员配置及项目管理机构，包括①项目施工组织管理结构图、②项目部主要成员岗位职责(项目经理、技术负责、安全员等岗位设置和人员执业控制）、③项目部的协调措施(包括与业主、设计单位等）等内容进行评审：上述</w:t>
            </w:r>
            <w:r>
              <w:rPr>
                <w:rFonts w:hint="eastAsia"/>
                <w:color w:val="auto"/>
                <w:highlight w:val="none"/>
                <w:lang w:val="en-US" w:eastAsia="zh-CN"/>
              </w:rPr>
              <w:t>三项</w:t>
            </w:r>
            <w:r>
              <w:rPr>
                <w:rFonts w:hint="eastAsia"/>
                <w:color w:val="auto"/>
                <w:highlight w:val="none"/>
              </w:rPr>
              <w:t>内容均符合实际情况、内容完善详细、机构健全、完全响应采购要求的得</w:t>
            </w:r>
            <w:r>
              <w:rPr>
                <w:rFonts w:hint="eastAsia"/>
                <w:color w:val="auto"/>
                <w:highlight w:val="none"/>
                <w:lang w:val="en-US" w:eastAsia="zh-CN"/>
              </w:rPr>
              <w:t>6</w:t>
            </w:r>
            <w:r>
              <w:rPr>
                <w:rFonts w:hint="eastAsia"/>
                <w:color w:val="auto"/>
                <w:highlight w:val="none"/>
              </w:rPr>
              <w:t>分；每有一项存在内容错误(内容错误指：机构设置与项目建设要求有缺项、人员岗位职责不清晰或交叉混乱、协调措施缺乏监督机制、人员专业与项目岗位要求不匹配、不相容岗位分离未分离的)</w:t>
            </w:r>
            <w:r>
              <w:rPr>
                <w:rFonts w:hint="eastAsia"/>
                <w:color w:val="auto"/>
                <w:highlight w:val="none"/>
                <w:lang w:val="en-US" w:eastAsia="zh-CN"/>
              </w:rPr>
              <w:t>或</w:t>
            </w:r>
            <w:r>
              <w:rPr>
                <w:rFonts w:hint="eastAsia"/>
                <w:color w:val="auto"/>
                <w:highlight w:val="none"/>
              </w:rPr>
              <w:t>每缺少一项内容的扣</w:t>
            </w:r>
            <w:r>
              <w:rPr>
                <w:rFonts w:hint="eastAsia"/>
                <w:color w:val="auto"/>
                <w:highlight w:val="none"/>
                <w:lang w:val="en-US" w:eastAsia="zh-CN"/>
              </w:rPr>
              <w:t>2</w:t>
            </w:r>
            <w:r>
              <w:rPr>
                <w:rFonts w:hint="eastAsia"/>
                <w:color w:val="auto"/>
                <w:highlight w:val="none"/>
              </w:rPr>
              <w:t>分，扣完为止。</w:t>
            </w:r>
          </w:p>
          <w:p w14:paraId="3A270FF4">
            <w:pPr>
              <w:rPr>
                <w:rFonts w:hint="eastAsia"/>
                <w:color w:val="auto"/>
                <w:highlight w:val="none"/>
              </w:rPr>
            </w:pPr>
            <w:r>
              <w:rPr>
                <w:rFonts w:hint="eastAsia"/>
                <w:color w:val="auto"/>
                <w:highlight w:val="none"/>
              </w:rPr>
              <w:t>4.质量管理体系及保证措施：根据供应商针对本项目提供的质量管理体系及保证措施，包括但不限于①制定完整的质量保证体系、②确保项目质量的技术组织措施、③针对质量目标及质量控制的保证措施、④制定质量管理制度及检查制度等内容进行评审：上述</w:t>
            </w:r>
            <w:r>
              <w:rPr>
                <w:rFonts w:hint="eastAsia"/>
                <w:color w:val="auto"/>
                <w:highlight w:val="none"/>
                <w:lang w:val="en-US" w:eastAsia="zh-CN"/>
              </w:rPr>
              <w:t>四项</w:t>
            </w:r>
            <w:r>
              <w:rPr>
                <w:rFonts w:hint="eastAsia"/>
                <w:color w:val="auto"/>
                <w:highlight w:val="none"/>
              </w:rPr>
              <w:t>内容均符合实际情况、内容完善详细、措施健全、完全响应采购要求的得</w:t>
            </w:r>
            <w:r>
              <w:rPr>
                <w:rFonts w:hint="eastAsia"/>
                <w:color w:val="auto"/>
                <w:highlight w:val="none"/>
                <w:lang w:val="en-US" w:eastAsia="zh-CN"/>
              </w:rPr>
              <w:t>8</w:t>
            </w:r>
            <w:r>
              <w:rPr>
                <w:rFonts w:hint="eastAsia"/>
                <w:color w:val="auto"/>
                <w:highlight w:val="none"/>
              </w:rPr>
              <w:t>分；每有一项存在内容错误(内容错误指：体系建设与项目内在需求有漏项、技术措施与项目施工特点不匹配、质控措施无监督制约机制、人员设置与质控管理要求不匹配、质控类不相容岗位分离未分离的)</w:t>
            </w:r>
            <w:r>
              <w:rPr>
                <w:rFonts w:hint="eastAsia"/>
                <w:color w:val="auto"/>
                <w:highlight w:val="none"/>
                <w:lang w:val="en-US" w:eastAsia="zh-CN"/>
              </w:rPr>
              <w:t>或</w:t>
            </w:r>
            <w:r>
              <w:rPr>
                <w:rFonts w:hint="eastAsia"/>
                <w:color w:val="auto"/>
                <w:highlight w:val="none"/>
              </w:rPr>
              <w:t>每缺少一项内容的扣</w:t>
            </w:r>
            <w:r>
              <w:rPr>
                <w:rFonts w:hint="eastAsia"/>
                <w:color w:val="auto"/>
                <w:highlight w:val="none"/>
                <w:lang w:val="en-US" w:eastAsia="zh-CN"/>
              </w:rPr>
              <w:t>2</w:t>
            </w:r>
            <w:r>
              <w:rPr>
                <w:rFonts w:hint="eastAsia"/>
                <w:color w:val="auto"/>
                <w:highlight w:val="none"/>
              </w:rPr>
              <w:t>分，扣完为止。</w:t>
            </w:r>
          </w:p>
          <w:p w14:paraId="192E85A1">
            <w:pPr>
              <w:rPr>
                <w:color w:val="auto"/>
                <w:highlight w:val="none"/>
              </w:rPr>
            </w:pPr>
            <w:r>
              <w:rPr>
                <w:rFonts w:hint="eastAsia"/>
                <w:color w:val="auto"/>
                <w:highlight w:val="none"/>
              </w:rPr>
              <w:t>5.环境保护管理体系与措施：根据供应商针对本项目提供的环境保护管理体系与措施，包括但不限于①制定完整的环境保护管理体系、②制定完整的环境卫生保护措施、③污染物处理及排放措施、④现场管理人员环境保护职责及操作流程要求等内容进行评审：上述</w:t>
            </w:r>
            <w:r>
              <w:rPr>
                <w:rFonts w:hint="eastAsia"/>
                <w:color w:val="auto"/>
                <w:highlight w:val="none"/>
                <w:lang w:val="en-US" w:eastAsia="zh-CN"/>
              </w:rPr>
              <w:t>四项</w:t>
            </w:r>
            <w:r>
              <w:rPr>
                <w:rFonts w:hint="eastAsia"/>
                <w:color w:val="auto"/>
                <w:highlight w:val="none"/>
              </w:rPr>
              <w:t>内容均符合实际情况、内容完善详细、措施健全、完全响应采购要求的得</w:t>
            </w:r>
            <w:r>
              <w:rPr>
                <w:rFonts w:hint="eastAsia"/>
                <w:color w:val="auto"/>
                <w:highlight w:val="none"/>
                <w:lang w:val="en-US" w:eastAsia="zh-CN"/>
              </w:rPr>
              <w:t>4</w:t>
            </w:r>
            <w:r>
              <w:rPr>
                <w:rFonts w:hint="eastAsia"/>
                <w:color w:val="auto"/>
                <w:highlight w:val="none"/>
              </w:rPr>
              <w:t xml:space="preserve"> 分；每有一项存在内容错误(内容错误指：环保体系建设与项目要求有漏项、环境卫生措施与项目施工特点不匹配、污染物处理措施与项目建设特点不匹配、职责不明确、操作流程不规范的)</w:t>
            </w:r>
            <w:r>
              <w:rPr>
                <w:rFonts w:hint="eastAsia"/>
                <w:color w:val="auto"/>
                <w:highlight w:val="none"/>
                <w:lang w:val="en-US" w:eastAsia="zh-CN"/>
              </w:rPr>
              <w:t>或</w:t>
            </w:r>
            <w:r>
              <w:rPr>
                <w:rFonts w:hint="eastAsia"/>
                <w:color w:val="auto"/>
                <w:highlight w:val="none"/>
              </w:rPr>
              <w:t>每缺少一项内容的扣</w:t>
            </w:r>
            <w:r>
              <w:rPr>
                <w:rFonts w:hint="eastAsia"/>
                <w:color w:val="auto"/>
                <w:highlight w:val="none"/>
                <w:lang w:val="en-US" w:eastAsia="zh-CN"/>
              </w:rPr>
              <w:t>1</w:t>
            </w:r>
            <w:r>
              <w:rPr>
                <w:rFonts w:hint="eastAsia"/>
                <w:color w:val="auto"/>
                <w:highlight w:val="none"/>
              </w:rPr>
              <w:t xml:space="preserve"> 分，扣完为止。6.项目进度计划与措施：根据供应商针对本项目提供的项目进度计划与措施，包括但不限于①详细的项目进度计划(含计划开、竣工日期和施工进度网络图)、②完整的项目工期保证措施、③劳动力配备及管理措施、④主要人、料、机配置使用计划及管理措施等内容进行综合评审：上述</w:t>
            </w:r>
            <w:r>
              <w:rPr>
                <w:rFonts w:hint="eastAsia"/>
                <w:color w:val="auto"/>
                <w:highlight w:val="none"/>
                <w:lang w:val="en-US" w:eastAsia="zh-CN"/>
              </w:rPr>
              <w:t>四项</w:t>
            </w:r>
            <w:r>
              <w:rPr>
                <w:rFonts w:hint="eastAsia"/>
                <w:color w:val="auto"/>
                <w:highlight w:val="none"/>
              </w:rPr>
              <w:t>内容均符合实际情况、内容完善详细、措施健全、完全响应采购要求的得</w:t>
            </w:r>
            <w:r>
              <w:rPr>
                <w:rFonts w:hint="eastAsia"/>
                <w:color w:val="auto"/>
                <w:highlight w:val="none"/>
                <w:lang w:val="en-US" w:eastAsia="zh-CN"/>
              </w:rPr>
              <w:t>4</w:t>
            </w:r>
            <w:r>
              <w:rPr>
                <w:rFonts w:hint="eastAsia"/>
                <w:color w:val="auto"/>
                <w:highlight w:val="none"/>
              </w:rPr>
              <w:t xml:space="preserve"> 分；每有一项存在内容错误(内容错误指：进度计划超期、进度计划违背项目施工质量及技术工艺要求、劳动力配置与项目建设工期不匹配、人、料、机使用计划混乱、管理操作流程不规范的)</w:t>
            </w:r>
            <w:r>
              <w:rPr>
                <w:rFonts w:hint="eastAsia"/>
                <w:color w:val="auto"/>
                <w:highlight w:val="none"/>
                <w:lang w:val="en-US" w:eastAsia="zh-CN"/>
              </w:rPr>
              <w:t>或</w:t>
            </w:r>
            <w:r>
              <w:rPr>
                <w:rFonts w:hint="eastAsia"/>
                <w:color w:val="auto"/>
                <w:highlight w:val="none"/>
              </w:rPr>
              <w:t xml:space="preserve">每缺少一项内容的扣 </w:t>
            </w:r>
            <w:r>
              <w:rPr>
                <w:rFonts w:hint="eastAsia"/>
                <w:color w:val="auto"/>
                <w:highlight w:val="none"/>
                <w:lang w:val="en-US" w:eastAsia="zh-CN"/>
              </w:rPr>
              <w:t>1</w:t>
            </w:r>
            <w:r>
              <w:rPr>
                <w:rFonts w:hint="eastAsia"/>
                <w:color w:val="auto"/>
                <w:highlight w:val="none"/>
              </w:rPr>
              <w:t xml:space="preserve"> 分，扣完为止。</w:t>
            </w:r>
          </w:p>
          <w:p w14:paraId="670A2A0C">
            <w:pPr>
              <w:rPr>
                <w:color w:val="auto"/>
                <w:highlight w:val="none"/>
              </w:rPr>
            </w:pPr>
            <w:r>
              <w:rPr>
                <w:rFonts w:hint="eastAsia"/>
                <w:color w:val="auto"/>
                <w:highlight w:val="none"/>
              </w:rPr>
              <w:t>注：以评审专家结合项目实际情况和响应文件情况独立评审为准。</w:t>
            </w:r>
          </w:p>
        </w:tc>
        <w:tc>
          <w:tcPr>
            <w:tcW w:w="941" w:type="dxa"/>
            <w:noWrap w:val="0"/>
            <w:vAlign w:val="center"/>
          </w:tcPr>
          <w:p w14:paraId="56C9A10B">
            <w:pPr>
              <w:adjustRightInd/>
              <w:snapToGrid/>
              <w:spacing w:line="320" w:lineRule="exact"/>
              <w:ind w:left="55" w:leftChars="23" w:right="36" w:rightChars="15"/>
              <w:jc w:val="center"/>
              <w:rPr>
                <w:rFonts w:cs="宋体"/>
                <w:color w:val="auto"/>
                <w:highlight w:val="none"/>
              </w:rPr>
            </w:pPr>
            <w:r>
              <w:rPr>
                <w:rFonts w:hint="eastAsia" w:cs="宋体"/>
                <w:color w:val="auto"/>
                <w:highlight w:val="none"/>
              </w:rPr>
              <w:t>技术类评分因素</w:t>
            </w:r>
          </w:p>
        </w:tc>
      </w:tr>
      <w:tr w14:paraId="5993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714" w:type="dxa"/>
            <w:noWrap w:val="0"/>
            <w:vAlign w:val="center"/>
          </w:tcPr>
          <w:p w14:paraId="6ED7F02B">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rPr>
              <w:t>三</w:t>
            </w:r>
          </w:p>
        </w:tc>
        <w:tc>
          <w:tcPr>
            <w:tcW w:w="1408" w:type="dxa"/>
            <w:noWrap w:val="0"/>
            <w:vAlign w:val="center"/>
          </w:tcPr>
          <w:p w14:paraId="5868C2F2">
            <w:pPr>
              <w:adjustRightInd/>
              <w:snapToGrid/>
              <w:spacing w:line="320" w:lineRule="exact"/>
              <w:ind w:left="55" w:leftChars="23" w:right="36" w:rightChars="15" w:firstLine="28" w:firstLineChars="0"/>
              <w:jc w:val="center"/>
              <w:rPr>
                <w:rFonts w:ascii="宋体" w:hAnsi="宋体" w:eastAsia="宋体" w:cs="宋体"/>
                <w:color w:val="auto"/>
                <w:kern w:val="2"/>
                <w:sz w:val="24"/>
                <w:szCs w:val="24"/>
                <w:highlight w:val="none"/>
                <w:lang w:val="en-US" w:eastAsia="zh-CN" w:bidi="ar-SA"/>
              </w:rPr>
            </w:pPr>
            <w:r>
              <w:rPr>
                <w:rFonts w:hint="eastAsia" w:cs="宋体"/>
                <w:color w:val="auto"/>
                <w:szCs w:val="21"/>
                <w:highlight w:val="none"/>
              </w:rPr>
              <w:t>管理人员</w:t>
            </w:r>
            <w:r>
              <w:rPr>
                <w:rFonts w:cs="宋体"/>
                <w:color w:val="auto"/>
                <w:szCs w:val="21"/>
                <w:highlight w:val="none"/>
              </w:rPr>
              <w:t>配置</w:t>
            </w:r>
            <w:r>
              <w:rPr>
                <w:rFonts w:hint="eastAsia" w:cs="宋体"/>
                <w:color w:val="auto"/>
                <w:szCs w:val="21"/>
                <w:highlight w:val="none"/>
                <w:lang w:val="en-US" w:eastAsia="zh-CN"/>
              </w:rPr>
              <w:t>12</w:t>
            </w:r>
            <w:r>
              <w:rPr>
                <w:rFonts w:hint="eastAsia" w:cs="宋体"/>
                <w:color w:val="auto"/>
                <w:szCs w:val="21"/>
                <w:highlight w:val="none"/>
              </w:rPr>
              <w:t>%</w:t>
            </w:r>
          </w:p>
        </w:tc>
        <w:tc>
          <w:tcPr>
            <w:tcW w:w="926" w:type="dxa"/>
            <w:noWrap w:val="0"/>
            <w:vAlign w:val="center"/>
          </w:tcPr>
          <w:p w14:paraId="570A6C95">
            <w:pPr>
              <w:adjustRightInd/>
              <w:snapToGrid/>
              <w:spacing w:line="320" w:lineRule="exact"/>
              <w:ind w:left="55" w:leftChars="23" w:right="36" w:rightChars="15" w:firstLine="28" w:firstLineChars="0"/>
              <w:jc w:val="center"/>
              <w:rPr>
                <w:rFonts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12</w:t>
            </w:r>
            <w:r>
              <w:rPr>
                <w:rFonts w:hint="eastAsia" w:cs="宋体"/>
                <w:color w:val="auto"/>
                <w:highlight w:val="none"/>
              </w:rPr>
              <w:t>分</w:t>
            </w:r>
          </w:p>
        </w:tc>
        <w:tc>
          <w:tcPr>
            <w:tcW w:w="5167" w:type="dxa"/>
            <w:noWrap w:val="0"/>
            <w:vAlign w:val="center"/>
          </w:tcPr>
          <w:p w14:paraId="5B7CF23F">
            <w:pPr>
              <w:rPr>
                <w:rFonts w:hint="eastAsia" w:eastAsia="宋体"/>
                <w:color w:val="auto"/>
                <w:highlight w:val="none"/>
                <w:lang w:eastAsia="zh-CN"/>
              </w:rPr>
            </w:pPr>
            <w:r>
              <w:rPr>
                <w:rFonts w:hint="eastAsia"/>
                <w:color w:val="auto"/>
                <w:highlight w:val="none"/>
              </w:rPr>
              <w:t>1.项目经理：拟任本项目的项目经理具有</w:t>
            </w:r>
            <w:r>
              <w:rPr>
                <w:rFonts w:hint="eastAsia"/>
                <w:color w:val="auto"/>
                <w:highlight w:val="none"/>
                <w:lang w:val="en-US" w:eastAsia="zh-CN"/>
              </w:rPr>
              <w:t>房屋建筑</w:t>
            </w:r>
            <w:r>
              <w:rPr>
                <w:rFonts w:hint="eastAsia"/>
                <w:color w:val="auto"/>
                <w:highlight w:val="none"/>
                <w:lang w:eastAsia="zh-CN"/>
              </w:rPr>
              <w:t>工程</w:t>
            </w:r>
            <w:r>
              <w:rPr>
                <w:rFonts w:hint="eastAsia"/>
                <w:color w:val="auto"/>
                <w:highlight w:val="none"/>
              </w:rPr>
              <w:t>二级或以上建造师执业资格的得</w:t>
            </w:r>
            <w:r>
              <w:rPr>
                <w:rFonts w:hint="eastAsia"/>
                <w:color w:val="auto"/>
                <w:highlight w:val="none"/>
                <w:lang w:val="en-US" w:eastAsia="zh-CN"/>
              </w:rPr>
              <w:t>3</w:t>
            </w:r>
            <w:r>
              <w:rPr>
                <w:rFonts w:hint="eastAsia"/>
                <w:color w:val="auto"/>
                <w:highlight w:val="none"/>
              </w:rPr>
              <w:t>分，同时具有</w:t>
            </w:r>
            <w:r>
              <w:rPr>
                <w:rFonts w:hint="eastAsia"/>
                <w:color w:val="auto"/>
                <w:highlight w:val="none"/>
                <w:lang w:val="en-US" w:eastAsia="zh-CN"/>
              </w:rPr>
              <w:t>建筑工程类</w:t>
            </w:r>
            <w:r>
              <w:rPr>
                <w:rFonts w:hint="eastAsia"/>
                <w:color w:val="auto"/>
                <w:highlight w:val="none"/>
              </w:rPr>
              <w:t>专业中级及以上职称的加</w:t>
            </w:r>
            <w:r>
              <w:rPr>
                <w:rFonts w:hint="eastAsia"/>
                <w:color w:val="auto"/>
                <w:highlight w:val="none"/>
                <w:lang w:val="en-US" w:eastAsia="zh-CN"/>
              </w:rPr>
              <w:t>2</w:t>
            </w:r>
            <w:r>
              <w:rPr>
                <w:rFonts w:hint="eastAsia"/>
                <w:color w:val="auto"/>
                <w:highlight w:val="none"/>
              </w:rPr>
              <w:t>分；</w:t>
            </w:r>
          </w:p>
          <w:p w14:paraId="015D9026">
            <w:pPr>
              <w:rPr>
                <w:rFonts w:hint="eastAsia" w:eastAsia="宋体"/>
                <w:color w:val="auto"/>
                <w:highlight w:val="none"/>
                <w:lang w:eastAsia="zh-CN"/>
              </w:rPr>
            </w:pPr>
            <w:r>
              <w:rPr>
                <w:rFonts w:hint="eastAsia"/>
                <w:color w:val="auto"/>
                <w:highlight w:val="none"/>
              </w:rPr>
              <w:t>2.技术负责人：拟任本项目的技术负责人具有</w:t>
            </w:r>
            <w:r>
              <w:rPr>
                <w:rFonts w:hint="eastAsia"/>
                <w:color w:val="auto"/>
                <w:highlight w:val="none"/>
                <w:lang w:val="en-US" w:eastAsia="zh-CN"/>
              </w:rPr>
              <w:t>建筑工程类</w:t>
            </w:r>
            <w:r>
              <w:rPr>
                <w:rFonts w:hint="eastAsia"/>
                <w:color w:val="auto"/>
                <w:highlight w:val="none"/>
              </w:rPr>
              <w:t>专业中级及以上职称的得</w:t>
            </w:r>
            <w:r>
              <w:rPr>
                <w:rFonts w:hint="eastAsia"/>
                <w:color w:val="auto"/>
                <w:highlight w:val="none"/>
                <w:lang w:val="en-US" w:eastAsia="zh-CN"/>
              </w:rPr>
              <w:t>2</w:t>
            </w:r>
            <w:r>
              <w:rPr>
                <w:rFonts w:hint="eastAsia"/>
                <w:color w:val="auto"/>
                <w:highlight w:val="none"/>
              </w:rPr>
              <w:t>分；</w:t>
            </w:r>
            <w:bookmarkStart w:id="2" w:name="_GoBack"/>
            <w:bookmarkEnd w:id="2"/>
          </w:p>
          <w:p w14:paraId="10DB81F1">
            <w:pPr>
              <w:rPr>
                <w:color w:val="auto"/>
                <w:highlight w:val="none"/>
              </w:rPr>
            </w:pPr>
            <w:r>
              <w:rPr>
                <w:rFonts w:hint="eastAsia"/>
                <w:color w:val="auto"/>
                <w:highlight w:val="none"/>
              </w:rPr>
              <w:t>3.项目管理人员(除项目经理及技术负责人)：拟任本项目其他项目管理人员包括施工员、质量员、材料员、造价员、安全员，每有一个得</w:t>
            </w:r>
            <w:r>
              <w:rPr>
                <w:rFonts w:hint="eastAsia"/>
                <w:color w:val="auto"/>
                <w:highlight w:val="none"/>
                <w:lang w:val="en-US" w:eastAsia="zh-CN"/>
              </w:rPr>
              <w:t>1</w:t>
            </w:r>
            <w:r>
              <w:rPr>
                <w:rFonts w:hint="eastAsia"/>
                <w:color w:val="auto"/>
                <w:highlight w:val="none"/>
              </w:rPr>
              <w:t>分，最多得</w:t>
            </w:r>
            <w:r>
              <w:rPr>
                <w:rFonts w:hint="eastAsia"/>
                <w:color w:val="auto"/>
                <w:highlight w:val="none"/>
                <w:lang w:val="en-US" w:eastAsia="zh-CN"/>
              </w:rPr>
              <w:t>5</w:t>
            </w:r>
            <w:r>
              <w:rPr>
                <w:rFonts w:hint="eastAsia"/>
                <w:color w:val="auto"/>
                <w:highlight w:val="none"/>
              </w:rPr>
              <w:t>分。</w:t>
            </w:r>
          </w:p>
          <w:p w14:paraId="4FEADEC0">
            <w:pPr>
              <w:rPr>
                <w:rFonts w:ascii="宋体" w:hAnsi="宋体" w:eastAsia="宋体" w:cs="Times New Roman"/>
                <w:color w:val="auto"/>
                <w:kern w:val="2"/>
                <w:sz w:val="24"/>
                <w:szCs w:val="24"/>
                <w:highlight w:val="none"/>
                <w:lang w:val="en-US" w:eastAsia="zh-CN" w:bidi="ar-SA"/>
              </w:rPr>
            </w:pPr>
            <w:r>
              <w:rPr>
                <w:rFonts w:hint="eastAsia"/>
                <w:color w:val="auto"/>
                <w:highlight w:val="none"/>
              </w:rPr>
              <w:t>注:提供人员证书复印件。</w:t>
            </w:r>
          </w:p>
        </w:tc>
        <w:tc>
          <w:tcPr>
            <w:tcW w:w="941" w:type="dxa"/>
            <w:noWrap w:val="0"/>
            <w:vAlign w:val="center"/>
          </w:tcPr>
          <w:p w14:paraId="7F9F5584">
            <w:pPr>
              <w:adjustRightInd/>
              <w:snapToGrid/>
              <w:spacing w:line="320" w:lineRule="exact"/>
              <w:ind w:left="55" w:leftChars="23" w:right="36" w:rightChars="15"/>
              <w:jc w:val="center"/>
              <w:rPr>
                <w:rFonts w:cs="宋体"/>
                <w:color w:val="auto"/>
                <w:highlight w:val="none"/>
              </w:rPr>
            </w:pPr>
            <w:r>
              <w:rPr>
                <w:rFonts w:hint="eastAsia" w:cs="宋体"/>
                <w:color w:val="auto"/>
                <w:highlight w:val="none"/>
              </w:rPr>
              <w:t>共同评</w:t>
            </w:r>
          </w:p>
          <w:p w14:paraId="74F78C16">
            <w:pPr>
              <w:adjustRightInd/>
              <w:snapToGrid/>
              <w:spacing w:line="320" w:lineRule="exact"/>
              <w:ind w:left="55" w:leftChars="23" w:right="36" w:rightChars="15"/>
              <w:jc w:val="center"/>
              <w:rPr>
                <w:rFonts w:ascii="宋体" w:hAnsi="宋体" w:eastAsia="宋体" w:cs="宋体"/>
                <w:color w:val="auto"/>
                <w:kern w:val="2"/>
                <w:sz w:val="24"/>
                <w:szCs w:val="24"/>
                <w:highlight w:val="none"/>
                <w:lang w:val="en-US" w:eastAsia="zh-CN" w:bidi="ar-SA"/>
              </w:rPr>
            </w:pPr>
            <w:r>
              <w:rPr>
                <w:rFonts w:hint="eastAsia" w:cs="宋体"/>
                <w:color w:val="auto"/>
                <w:highlight w:val="none"/>
              </w:rPr>
              <w:t>分因素</w:t>
            </w:r>
          </w:p>
        </w:tc>
      </w:tr>
      <w:tr w14:paraId="0D64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714" w:type="dxa"/>
            <w:noWrap w:val="0"/>
            <w:vAlign w:val="center"/>
          </w:tcPr>
          <w:p w14:paraId="5F7FF2C6">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rPr>
              <w:t>四</w:t>
            </w:r>
          </w:p>
        </w:tc>
        <w:tc>
          <w:tcPr>
            <w:tcW w:w="1408" w:type="dxa"/>
            <w:noWrap w:val="0"/>
            <w:vAlign w:val="center"/>
          </w:tcPr>
          <w:p w14:paraId="57215BF4">
            <w:pPr>
              <w:adjustRightInd/>
              <w:snapToGrid/>
              <w:spacing w:line="320" w:lineRule="exact"/>
              <w:ind w:left="55" w:leftChars="23" w:right="36" w:rightChars="15" w:firstLine="28" w:firstLineChars="0"/>
              <w:jc w:val="center"/>
              <w:rPr>
                <w:rFonts w:hint="eastAsia" w:ascii="宋体" w:hAnsi="宋体" w:eastAsia="宋体" w:cs="宋体"/>
                <w:color w:val="auto"/>
                <w:kern w:val="2"/>
                <w:sz w:val="24"/>
                <w:szCs w:val="21"/>
                <w:highlight w:val="none"/>
                <w:lang w:val="en-US" w:eastAsia="zh-CN" w:bidi="ar-SA"/>
              </w:rPr>
            </w:pPr>
            <w:r>
              <w:rPr>
                <w:rFonts w:hint="eastAsia" w:cs="宋体"/>
                <w:color w:val="auto"/>
                <w:highlight w:val="none"/>
                <w:lang w:val="en-US" w:eastAsia="zh-CN"/>
              </w:rPr>
              <w:t>履约能力</w:t>
            </w:r>
          </w:p>
        </w:tc>
        <w:tc>
          <w:tcPr>
            <w:tcW w:w="926" w:type="dxa"/>
            <w:noWrap w:val="0"/>
            <w:vAlign w:val="center"/>
          </w:tcPr>
          <w:p w14:paraId="1B4EBB8D">
            <w:pPr>
              <w:adjustRightInd/>
              <w:snapToGrid/>
              <w:spacing w:line="320" w:lineRule="exact"/>
              <w:ind w:left="55" w:leftChars="23" w:right="36" w:rightChars="15" w:firstLine="28" w:firstLineChars="0"/>
              <w:jc w:val="center"/>
              <w:rPr>
                <w:rFonts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8</w:t>
            </w:r>
            <w:r>
              <w:rPr>
                <w:rFonts w:hint="eastAsia" w:cs="宋体"/>
                <w:color w:val="auto"/>
                <w:highlight w:val="none"/>
              </w:rPr>
              <w:t>分</w:t>
            </w:r>
          </w:p>
        </w:tc>
        <w:tc>
          <w:tcPr>
            <w:tcW w:w="5167" w:type="dxa"/>
            <w:noWrap w:val="0"/>
            <w:vAlign w:val="top"/>
          </w:tcPr>
          <w:p w14:paraId="7733CD33">
            <w:pPr>
              <w:rPr>
                <w:rFonts w:hint="eastAsia" w:ascii="宋体" w:hAnsi="宋体" w:eastAsia="宋体" w:cs="Times New Roman"/>
                <w:color w:val="auto"/>
                <w:kern w:val="2"/>
                <w:sz w:val="24"/>
                <w:szCs w:val="24"/>
                <w:highlight w:val="none"/>
                <w:lang w:val="en-US" w:eastAsia="zh-CN" w:bidi="ar-SA"/>
              </w:rPr>
            </w:pPr>
            <w:r>
              <w:rPr>
                <w:rFonts w:hint="eastAsia"/>
                <w:color w:val="auto"/>
                <w:highlight w:val="none"/>
              </w:rPr>
              <w:t>1、供应商 2022 年1</w:t>
            </w:r>
            <w:r>
              <w:rPr>
                <w:rFonts w:hint="eastAsia"/>
                <w:color w:val="auto"/>
                <w:highlight w:val="none"/>
                <w:lang w:val="en-US" w:eastAsia="zh-CN"/>
              </w:rPr>
              <w:t>0</w:t>
            </w:r>
            <w:r>
              <w:rPr>
                <w:rFonts w:hint="eastAsia"/>
                <w:color w:val="auto"/>
                <w:highlight w:val="none"/>
              </w:rPr>
              <w:t>月1日（含1日）以来具有一个类似项目业绩的得</w:t>
            </w:r>
            <w:r>
              <w:rPr>
                <w:rFonts w:hint="eastAsia"/>
                <w:color w:val="auto"/>
                <w:highlight w:val="none"/>
                <w:lang w:val="en-US" w:eastAsia="zh-CN"/>
              </w:rPr>
              <w:t>4</w:t>
            </w:r>
            <w:r>
              <w:rPr>
                <w:rFonts w:hint="eastAsia"/>
                <w:color w:val="auto"/>
                <w:highlight w:val="none"/>
              </w:rPr>
              <w:t>分，最多得</w:t>
            </w:r>
            <w:r>
              <w:rPr>
                <w:rFonts w:hint="eastAsia"/>
                <w:color w:val="auto"/>
                <w:highlight w:val="none"/>
                <w:lang w:val="en-US" w:eastAsia="zh-CN"/>
              </w:rPr>
              <w:t>8</w:t>
            </w:r>
            <w:r>
              <w:rPr>
                <w:rFonts w:hint="eastAsia"/>
                <w:color w:val="auto"/>
                <w:highlight w:val="none"/>
              </w:rPr>
              <w:t>分。未提供不得分。 （1）类似业绩指：建筑工程施工类施工业绩；</w:t>
            </w:r>
            <w:r>
              <w:rPr>
                <w:rFonts w:hint="eastAsia"/>
                <w:color w:val="auto"/>
                <w:highlight w:val="none"/>
                <w:lang w:val="en-US" w:eastAsia="zh-CN"/>
              </w:rPr>
              <w:t>房屋建筑工程</w:t>
            </w:r>
            <w:r>
              <w:rPr>
                <w:rFonts w:hint="eastAsia"/>
                <w:color w:val="auto"/>
                <w:highlight w:val="none"/>
              </w:rPr>
              <w:t>改造、新建类业绩 （2）在响应时提供施工合同原件扫描件与竣工验收报告原件扫描件并加盖供应商公章。</w:t>
            </w:r>
          </w:p>
        </w:tc>
        <w:tc>
          <w:tcPr>
            <w:tcW w:w="941" w:type="dxa"/>
            <w:noWrap w:val="0"/>
            <w:vAlign w:val="center"/>
          </w:tcPr>
          <w:p w14:paraId="472CAB2B">
            <w:pPr>
              <w:adjustRightInd/>
              <w:snapToGrid/>
              <w:spacing w:line="320" w:lineRule="exact"/>
              <w:ind w:left="55" w:leftChars="23" w:right="36" w:rightChars="15"/>
              <w:jc w:val="center"/>
              <w:rPr>
                <w:rFonts w:cs="宋体"/>
                <w:color w:val="auto"/>
                <w:highlight w:val="none"/>
              </w:rPr>
            </w:pPr>
            <w:r>
              <w:rPr>
                <w:rFonts w:hint="eastAsia" w:cs="宋体"/>
                <w:color w:val="auto"/>
                <w:highlight w:val="none"/>
              </w:rPr>
              <w:t>共同评</w:t>
            </w:r>
          </w:p>
          <w:p w14:paraId="1D7F3DA2">
            <w:pPr>
              <w:adjustRightInd/>
              <w:snapToGrid/>
              <w:spacing w:line="320" w:lineRule="exact"/>
              <w:ind w:left="55" w:leftChars="23" w:right="36" w:rightChars="15"/>
              <w:jc w:val="center"/>
              <w:rPr>
                <w:rFonts w:hint="eastAsia" w:ascii="宋体" w:hAnsi="宋体" w:eastAsia="宋体" w:cs="宋体"/>
                <w:color w:val="auto"/>
                <w:kern w:val="2"/>
                <w:sz w:val="24"/>
                <w:szCs w:val="24"/>
                <w:highlight w:val="none"/>
                <w:lang w:val="en-US" w:eastAsia="zh-CN" w:bidi="ar-SA"/>
              </w:rPr>
            </w:pPr>
            <w:r>
              <w:rPr>
                <w:rFonts w:hint="eastAsia" w:cs="宋体"/>
                <w:color w:val="auto"/>
                <w:highlight w:val="none"/>
              </w:rPr>
              <w:t>分因素</w:t>
            </w:r>
          </w:p>
        </w:tc>
      </w:tr>
      <w:tr w14:paraId="6B9D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156" w:type="dxa"/>
            <w:gridSpan w:val="5"/>
            <w:tcBorders>
              <w:top w:val="single" w:color="auto" w:sz="4" w:space="0"/>
              <w:left w:val="single" w:color="auto" w:sz="4" w:space="0"/>
              <w:bottom w:val="single" w:color="auto" w:sz="4" w:space="0"/>
              <w:right w:val="single" w:color="auto" w:sz="4" w:space="0"/>
            </w:tcBorders>
            <w:noWrap w:val="0"/>
            <w:vAlign w:val="center"/>
          </w:tcPr>
          <w:p w14:paraId="63C90C62">
            <w:pPr>
              <w:adjustRightInd/>
              <w:snapToGrid/>
              <w:spacing w:line="320" w:lineRule="exact"/>
              <w:ind w:left="55" w:leftChars="23" w:right="36" w:rightChars="15"/>
              <w:rPr>
                <w:color w:val="auto"/>
                <w:highlight w:val="none"/>
              </w:rPr>
            </w:pPr>
            <w:r>
              <w:rPr>
                <w:rFonts w:hint="eastAsia" w:cs="宋体"/>
                <w:color w:val="auto"/>
                <w:highlight w:val="none"/>
              </w:rPr>
              <w:t>注</w:t>
            </w:r>
            <w:r>
              <w:rPr>
                <w:rFonts w:cs="宋体"/>
                <w:color w:val="auto"/>
                <w:highlight w:val="none"/>
              </w:rPr>
              <w:t>：</w:t>
            </w:r>
            <w:r>
              <w:rPr>
                <w:rFonts w:hint="eastAsia" w:cs="宋体"/>
                <w:color w:val="auto"/>
                <w:highlight w:val="none"/>
              </w:rPr>
              <w:t>1.评分</w:t>
            </w:r>
            <w:r>
              <w:rPr>
                <w:rFonts w:cs="宋体"/>
                <w:color w:val="auto"/>
                <w:highlight w:val="none"/>
              </w:rPr>
              <w:t>的取值</w:t>
            </w:r>
            <w:r>
              <w:rPr>
                <w:rFonts w:hint="eastAsia" w:cs="宋体"/>
                <w:color w:val="auto"/>
                <w:highlight w:val="none"/>
              </w:rPr>
              <w:t>按</w:t>
            </w:r>
            <w:r>
              <w:rPr>
                <w:rFonts w:cs="宋体"/>
                <w:color w:val="auto"/>
                <w:highlight w:val="none"/>
              </w:rPr>
              <w:t>四舍五入</w:t>
            </w:r>
            <w:r>
              <w:rPr>
                <w:rFonts w:hint="eastAsia" w:cs="宋体"/>
                <w:color w:val="auto"/>
                <w:highlight w:val="none"/>
              </w:rPr>
              <w:t>法</w:t>
            </w:r>
            <w:r>
              <w:rPr>
                <w:rFonts w:cs="宋体"/>
                <w:color w:val="auto"/>
                <w:highlight w:val="none"/>
              </w:rPr>
              <w:t>，保留</w:t>
            </w:r>
            <w:r>
              <w:rPr>
                <w:rFonts w:hint="eastAsia" w:cs="宋体"/>
                <w:color w:val="auto"/>
                <w:highlight w:val="none"/>
              </w:rPr>
              <w:t>小数</w:t>
            </w:r>
            <w:r>
              <w:rPr>
                <w:rFonts w:cs="宋体"/>
                <w:color w:val="auto"/>
                <w:highlight w:val="none"/>
              </w:rPr>
              <w:t>点</w:t>
            </w:r>
            <w:r>
              <w:rPr>
                <w:rFonts w:hint="eastAsia" w:cs="宋体"/>
                <w:color w:val="auto"/>
                <w:highlight w:val="none"/>
              </w:rPr>
              <w:t>后保留</w:t>
            </w:r>
            <w:r>
              <w:rPr>
                <w:rFonts w:cs="宋体"/>
                <w:color w:val="auto"/>
                <w:highlight w:val="none"/>
              </w:rPr>
              <w:t>两位</w:t>
            </w:r>
            <w:r>
              <w:rPr>
                <w:rFonts w:hint="eastAsia" w:cs="宋体"/>
                <w:color w:val="auto"/>
                <w:highlight w:val="none"/>
              </w:rPr>
              <w:t>。</w:t>
            </w:r>
          </w:p>
        </w:tc>
      </w:tr>
      <w:bookmarkEnd w:id="0"/>
      <w:bookmarkEnd w:id="1"/>
    </w:tbl>
    <w:p w14:paraId="3041390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ZWExOGFkYjY4OWI5YzRhZGI3MGJhOTJjN2MyNzQifQ=="/>
  </w:docVars>
  <w:rsids>
    <w:rsidRoot w:val="06B67859"/>
    <w:rsid w:val="06B67859"/>
    <w:rsid w:val="0B7E32D0"/>
    <w:rsid w:val="285A1DDD"/>
    <w:rsid w:val="315E63FD"/>
    <w:rsid w:val="6D0204A6"/>
    <w:rsid w:val="77CE2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2067</Words>
  <Characters>2099</Characters>
  <Lines>0</Lines>
  <Paragraphs>0</Paragraphs>
  <TotalTime>6</TotalTime>
  <ScaleCrop>false</ScaleCrop>
  <LinksUpToDate>false</LinksUpToDate>
  <CharactersWithSpaces>2114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2025-10-22T05:47:00Z</dcterms:created>
  <dc:creator>jgma</dc:creator>
  <cp:lastModifiedBy>周义</cp:lastModifiedBy>
  <dcterms:modified xsi:type="dcterms:W3CDTF">2025-10-22T07:59:17Z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1884496FA74B4DCA92F3706B3A59E8B1_13</vt:lpwstr>
  </property>
  <property fmtid="{D5CDD505-2E9C-101B-9397-08002B2CF9AE}" pid="4" name="KSOTemplateDocerSaveRecord">
    <vt:lpwstr>eyJoZGlkIjoiMWY2MWI1MmQxOTk5NzRlOGZmMGRkYjQ5NWJmMzQ3ZDQiLCJ1c2VySWQiOiI0MzQ0OTMwMDUifQ==</vt:lpwstr>
  </property>
</Properties>
</file>