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07D0">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14:paraId="0DCDFC6F">
      <w:pPr>
        <w:jc w:val="center"/>
        <w:rPr>
          <w:rFonts w:hint="eastAsia" w:ascii="黑体" w:hAnsi="黑体" w:eastAsia="黑体" w:cs="黑体"/>
          <w:i w:val="0"/>
          <w:iCs w:val="0"/>
          <w:caps w:val="0"/>
          <w:color w:val="000000"/>
          <w:spacing w:val="0"/>
          <w:sz w:val="44"/>
          <w:szCs w:val="44"/>
          <w:shd w:val="clear" w:fill="FFFFFF"/>
          <w:vertAlign w:val="baseline"/>
          <w:lang w:val="en-US" w:eastAsia="zh-CN"/>
        </w:rPr>
      </w:pPr>
    </w:p>
    <w:p w14:paraId="3694B581">
      <w:pPr>
        <w:jc w:val="center"/>
        <w:rPr>
          <w:rFonts w:hint="eastAsia" w:ascii="Arial Unicode MS" w:hAnsi="Arial Unicode MS" w:eastAsia="Arial Unicode MS" w:cs="Arial Unicode MS"/>
          <w:color w:val="000000"/>
          <w:kern w:val="0"/>
          <w:sz w:val="44"/>
          <w:szCs w:val="44"/>
          <w:vertAlign w:val="baseline"/>
          <w:lang w:val="en-US" w:eastAsia="zh-CN" w:bidi="ar-SA"/>
        </w:rPr>
      </w:pPr>
      <w:r>
        <w:rPr>
          <w:rFonts w:hint="eastAsia" w:ascii="Arial Unicode MS" w:hAnsi="Arial Unicode MS" w:eastAsia="Arial Unicode MS" w:cs="Arial Unicode MS"/>
          <w:sz w:val="44"/>
          <w:szCs w:val="44"/>
          <w:lang w:val="en-US" w:eastAsia="zh-CN"/>
        </w:rPr>
        <w:t>采 购 要 求</w:t>
      </w:r>
    </w:p>
    <w:p w14:paraId="03F0BEDE">
      <w:pPr>
        <w:pStyle w:val="15"/>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5"/>
        <w:numPr>
          <w:ilvl w:val="0"/>
          <w:numId w:val="0"/>
        </w:numPr>
        <w:ind w:firstLine="643" w:firstLineChars="200"/>
        <w:jc w:val="both"/>
        <w:rPr>
          <w:rFonts w:hint="eastAsia" w:ascii="黑体" w:hAnsi="黑体" w:eastAsia="黑体" w:cs="黑体"/>
          <w:b/>
          <w:bCs/>
          <w:color w:val="000000"/>
          <w:kern w:val="0"/>
          <w:sz w:val="32"/>
          <w:szCs w:val="32"/>
          <w:vertAlign w:val="baseline"/>
          <w:lang w:val="en-US" w:eastAsia="zh-CN" w:bidi="ar-SA"/>
        </w:rPr>
      </w:pPr>
      <w:r>
        <w:rPr>
          <w:rFonts w:hint="eastAsia" w:ascii="黑体" w:hAnsi="黑体" w:eastAsia="黑体" w:cs="黑体"/>
          <w:b/>
          <w:bCs/>
          <w:color w:val="000000"/>
          <w:kern w:val="0"/>
          <w:sz w:val="32"/>
          <w:szCs w:val="32"/>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具有独立承担民事责任的能力</w:t>
      </w:r>
      <w:r>
        <w:rPr>
          <w:rFonts w:hint="eastAsia" w:ascii="仿宋_GB2312" w:hAnsi="仿宋_GB2312" w:eastAsia="仿宋_GB2312" w:cs="仿宋_GB2312"/>
          <w:bCs/>
          <w:sz w:val="32"/>
          <w:szCs w:val="32"/>
          <w:lang w:eastAsia="zh-CN"/>
        </w:rPr>
        <w:t>（提供承诺函）；</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具有良好的商业信誉和健全的财务会计制度</w:t>
      </w:r>
      <w:r>
        <w:rPr>
          <w:rFonts w:hint="eastAsia" w:ascii="仿宋_GB2312" w:hAnsi="仿宋_GB2312" w:eastAsia="仿宋_GB2312" w:cs="仿宋_GB2312"/>
          <w:bCs/>
          <w:sz w:val="32"/>
          <w:szCs w:val="32"/>
          <w:lang w:eastAsia="zh-CN"/>
        </w:rPr>
        <w:t>（提供承诺函）；</w:t>
      </w:r>
    </w:p>
    <w:p w14:paraId="59D5023D">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具有履行合同所必需的设备和专业技术能力</w:t>
      </w:r>
      <w:r>
        <w:rPr>
          <w:rFonts w:hint="eastAsia" w:ascii="仿宋_GB2312" w:hAnsi="仿宋_GB2312" w:eastAsia="仿宋_GB2312" w:cs="仿宋_GB2312"/>
          <w:bCs/>
          <w:sz w:val="32"/>
          <w:szCs w:val="32"/>
          <w:lang w:eastAsia="zh-CN"/>
        </w:rPr>
        <w:t>（提供营业执照）；</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参加本次</w:t>
      </w:r>
      <w:r>
        <w:rPr>
          <w:rFonts w:hint="eastAsia" w:ascii="仿宋_GB2312" w:hAnsi="仿宋_GB2312" w:eastAsia="仿宋_GB2312" w:cs="仿宋_GB2312"/>
          <w:bCs/>
          <w:sz w:val="32"/>
          <w:szCs w:val="32"/>
          <w:lang w:val="en-US" w:eastAsia="zh-CN"/>
        </w:rPr>
        <w:t>比选</w:t>
      </w:r>
      <w:r>
        <w:rPr>
          <w:rFonts w:hint="eastAsia" w:ascii="仿宋_GB2312" w:hAnsi="仿宋_GB2312" w:eastAsia="仿宋_GB2312" w:cs="仿宋_GB2312"/>
          <w:bCs/>
          <w:sz w:val="32"/>
          <w:szCs w:val="32"/>
        </w:rPr>
        <w:t>活动前三年内，在经营活动中没有重大违法记录</w:t>
      </w:r>
      <w:r>
        <w:rPr>
          <w:rFonts w:hint="eastAsia" w:ascii="仿宋_GB2312" w:hAnsi="仿宋_GB2312" w:eastAsia="仿宋_GB2312" w:cs="仿宋_GB2312"/>
          <w:bCs/>
          <w:sz w:val="32"/>
          <w:szCs w:val="32"/>
          <w:lang w:eastAsia="zh-CN"/>
        </w:rPr>
        <w:t>（提供承诺函）；</w:t>
      </w:r>
    </w:p>
    <w:p w14:paraId="20C5FD1E">
      <w:pPr>
        <w:pStyle w:val="15"/>
        <w:ind w:firstLine="640" w:firstLineChars="200"/>
        <w:rPr>
          <w:rFonts w:hint="default" w:eastAsia="仿宋_GB2312"/>
          <w:sz w:val="32"/>
          <w:szCs w:val="32"/>
          <w:lang w:val="en-US" w:eastAsia="zh-CN"/>
        </w:rPr>
      </w:pPr>
      <w:r>
        <w:rPr>
          <w:rFonts w:hint="eastAsia" w:ascii="仿宋_GB2312" w:hAnsi="仿宋_GB2312" w:eastAsia="仿宋_GB2312" w:cs="仿宋_GB2312"/>
          <w:bCs/>
          <w:sz w:val="32"/>
          <w:szCs w:val="32"/>
          <w:lang w:val="en-US" w:eastAsia="zh-CN"/>
        </w:rPr>
        <w:t>5.</w:t>
      </w:r>
      <w:r>
        <w:rPr>
          <w:rFonts w:hint="eastAsia" w:ascii="方正仿宋_GB2312" w:hAnsi="方正仿宋_GB2312" w:eastAsia="方正仿宋_GB2312" w:cs="方正仿宋_GB2312"/>
          <w:color w:val="auto"/>
          <w:sz w:val="32"/>
          <w:szCs w:val="32"/>
          <w:highlight w:val="none"/>
          <w:lang w:eastAsia="zh-CN"/>
        </w:rPr>
        <w:t>本项目不接受联合体参与比选。</w:t>
      </w:r>
    </w:p>
    <w:p w14:paraId="183613E9">
      <w:pPr>
        <w:pStyle w:val="11"/>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方正仿宋_GB2312" w:hAnsi="方正仿宋_GB2312" w:eastAsia="方正仿宋_GB2312" w:cs="方正仿宋_GB2312"/>
          <w:color w:val="auto"/>
          <w:sz w:val="32"/>
          <w:szCs w:val="32"/>
          <w:highlight w:val="none"/>
          <w:lang w:val="en-US" w:eastAsia="zh-CN" w:bidi="ar-SA"/>
        </w:rPr>
        <w:t xml:space="preserve"> </w:t>
      </w:r>
      <w:r>
        <w:rPr>
          <w:rFonts w:hint="eastAsia" w:ascii="方正仿宋_GB2312" w:hAnsi="方正仿宋_GB2312" w:eastAsia="方正仿宋_GB2312" w:cs="方正仿宋_GB2312"/>
          <w:b/>
          <w:bCs/>
          <w:color w:val="auto"/>
          <w:sz w:val="32"/>
          <w:szCs w:val="32"/>
          <w:highlight w:val="none"/>
          <w:lang w:val="en-US" w:eastAsia="zh-CN" w:bidi="ar-SA"/>
        </w:rPr>
        <w:t>注：上述资料均加盖公司鲜章。</w:t>
      </w:r>
    </w:p>
    <w:p w14:paraId="017890F1">
      <w:pPr>
        <w:pStyle w:val="15"/>
        <w:numPr>
          <w:ilvl w:val="0"/>
          <w:numId w:val="0"/>
        </w:numPr>
        <w:ind w:firstLine="643" w:firstLineChars="200"/>
        <w:jc w:val="both"/>
        <w:rPr>
          <w:rFonts w:hint="eastAsia" w:ascii="黑体" w:hAnsi="黑体" w:eastAsia="黑体" w:cs="黑体"/>
          <w:b/>
          <w:bCs/>
          <w:color w:val="000000"/>
          <w:kern w:val="0"/>
          <w:sz w:val="32"/>
          <w:szCs w:val="32"/>
          <w:vertAlign w:val="baseline"/>
          <w:lang w:val="en-US" w:eastAsia="zh-CN" w:bidi="ar-SA"/>
        </w:rPr>
      </w:pPr>
      <w:r>
        <w:rPr>
          <w:rFonts w:hint="eastAsia" w:ascii="黑体" w:hAnsi="黑体" w:eastAsia="黑体" w:cs="黑体"/>
          <w:b/>
          <w:bCs/>
          <w:color w:val="000000"/>
          <w:kern w:val="0"/>
          <w:sz w:val="32"/>
          <w:szCs w:val="32"/>
          <w:vertAlign w:val="baseline"/>
          <w:lang w:val="en-US" w:eastAsia="zh-CN" w:bidi="ar-SA"/>
        </w:rPr>
        <w:t>二、技术需求</w:t>
      </w:r>
    </w:p>
    <w:p w14:paraId="55AD3236">
      <w:pPr>
        <w:pStyle w:val="15"/>
        <w:numPr>
          <w:ilvl w:val="0"/>
          <w:numId w:val="0"/>
        </w:numPr>
        <w:ind w:firstLine="640" w:firstLineChars="200"/>
        <w:jc w:val="both"/>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编制高县中医医院医共体强基工程建设项目可行性研究报告。</w:t>
      </w:r>
    </w:p>
    <w:p w14:paraId="385A1A6D">
      <w:pPr>
        <w:pStyle w:val="15"/>
        <w:numPr>
          <w:ilvl w:val="0"/>
          <w:numId w:val="0"/>
        </w:numPr>
        <w:ind w:firstLine="643" w:firstLineChars="200"/>
        <w:jc w:val="both"/>
        <w:rPr>
          <w:rFonts w:hint="eastAsia" w:ascii="黑体" w:hAnsi="黑体" w:eastAsia="黑体" w:cs="黑体"/>
          <w:b/>
          <w:bCs/>
          <w:color w:val="000000"/>
          <w:kern w:val="0"/>
          <w:sz w:val="32"/>
          <w:szCs w:val="32"/>
          <w:vertAlign w:val="baseline"/>
          <w:lang w:val="en-US" w:eastAsia="zh-CN" w:bidi="ar-SA"/>
        </w:rPr>
      </w:pPr>
      <w:r>
        <w:rPr>
          <w:rFonts w:hint="eastAsia" w:ascii="黑体" w:hAnsi="黑体" w:eastAsia="黑体" w:cs="黑体"/>
          <w:b/>
          <w:bCs/>
          <w:color w:val="000000"/>
          <w:kern w:val="0"/>
          <w:sz w:val="32"/>
          <w:szCs w:val="32"/>
          <w:vertAlign w:val="baseline"/>
          <w:lang w:val="en-US" w:eastAsia="zh-CN" w:bidi="ar-SA"/>
        </w:rPr>
        <w:t>三、商务要求</w:t>
      </w:r>
    </w:p>
    <w:p w14:paraId="139353DD">
      <w:pPr>
        <w:pStyle w:val="16"/>
        <w:numPr>
          <w:ilvl w:val="0"/>
          <w:numId w:val="0"/>
        </w:numPr>
        <w:ind w:leftChars="0" w:firstLine="640" w:firstLineChars="200"/>
      </w:pP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lang w:eastAsia="zh-CN"/>
        </w:rPr>
        <w:t>服务期限</w:t>
      </w:r>
      <w:r>
        <w:rPr>
          <w:rFonts w:hint="eastAsia" w:ascii="楷体" w:hAnsi="楷体" w:eastAsia="楷体" w:cs="楷体"/>
          <w:b w:val="0"/>
          <w:bCs w:val="0"/>
          <w:sz w:val="32"/>
          <w:szCs w:val="32"/>
        </w:rPr>
        <w:t>：</w:t>
      </w:r>
      <w:r>
        <w:rPr>
          <w:rFonts w:hint="eastAsia" w:ascii="仿宋_GB2312" w:hAnsi="仿宋_GB2312" w:eastAsia="仿宋_GB2312" w:cs="仿宋_GB2312"/>
          <w:bCs/>
          <w:snapToGrid w:val="0"/>
          <w:color w:val="000000"/>
          <w:kern w:val="0"/>
          <w:sz w:val="32"/>
          <w:szCs w:val="32"/>
          <w:lang w:val="en-US" w:eastAsia="en-US" w:bidi="ar-SA"/>
        </w:rPr>
        <w:t>自合同签订之日起</w:t>
      </w:r>
      <w:r>
        <w:rPr>
          <w:rFonts w:hint="eastAsia" w:ascii="仿宋_GB2312" w:hAnsi="仿宋_GB2312" w:eastAsia="仿宋_GB2312" w:cs="仿宋_GB2312"/>
          <w:bCs/>
          <w:snapToGrid w:val="0"/>
          <w:color w:val="000000"/>
          <w:kern w:val="0"/>
          <w:sz w:val="32"/>
          <w:szCs w:val="32"/>
          <w:lang w:val="en-US" w:eastAsia="zh-CN" w:bidi="ar-SA"/>
        </w:rPr>
        <w:t>30</w:t>
      </w:r>
      <w:r>
        <w:rPr>
          <w:rFonts w:hint="eastAsia" w:ascii="仿宋_GB2312" w:hAnsi="仿宋_GB2312" w:eastAsia="仿宋_GB2312" w:cs="仿宋_GB2312"/>
          <w:bCs/>
          <w:snapToGrid w:val="0"/>
          <w:color w:val="000000"/>
          <w:kern w:val="0"/>
          <w:sz w:val="32"/>
          <w:szCs w:val="32"/>
          <w:lang w:val="en-US" w:eastAsia="en-US" w:bidi="ar-SA"/>
        </w:rPr>
        <w:t>日。</w:t>
      </w:r>
    </w:p>
    <w:p w14:paraId="2517EC10">
      <w:pPr>
        <w:pStyle w:val="16"/>
        <w:numPr>
          <w:ilvl w:val="0"/>
          <w:numId w:val="0"/>
        </w:numPr>
        <w:ind w:leftChars="0" w:firstLine="640" w:firstLineChars="200"/>
      </w:pPr>
      <w:r>
        <w:rPr>
          <w:rFonts w:hint="eastAsia" w:ascii="楷体" w:hAnsi="楷体" w:eastAsia="楷体" w:cs="楷体"/>
          <w:b w:val="0"/>
          <w:bCs w:val="0"/>
          <w:sz w:val="32"/>
          <w:szCs w:val="32"/>
          <w:lang w:val="en-US" w:eastAsia="zh-CN"/>
        </w:rPr>
        <w:t>2.服务地点：</w:t>
      </w:r>
      <w:r>
        <w:rPr>
          <w:rFonts w:hint="eastAsia" w:ascii="仿宋_GB2312" w:hAnsi="仿宋_GB2312" w:eastAsia="仿宋_GB2312" w:cs="仿宋_GB2312"/>
          <w:bCs/>
          <w:snapToGrid w:val="0"/>
          <w:color w:val="000000"/>
          <w:kern w:val="0"/>
          <w:sz w:val="32"/>
          <w:szCs w:val="32"/>
          <w:lang w:val="en-US" w:eastAsia="en-US" w:bidi="ar-SA"/>
        </w:rPr>
        <w:t>宜宾市高县中医医院。</w:t>
      </w:r>
    </w:p>
    <w:p w14:paraId="68D08FC5">
      <w:pPr>
        <w:pStyle w:val="16"/>
        <w:numPr>
          <w:ilvl w:val="0"/>
          <w:numId w:val="0"/>
        </w:numPr>
        <w:ind w:leftChars="0" w:firstLine="640" w:firstLineChars="200"/>
        <w:jc w:val="both"/>
        <w:rPr>
          <w:rFonts w:hint="default" w:ascii="仿宋_GB2312" w:hAnsi="仿宋_GB2312" w:eastAsia="仿宋_GB2312" w:cs="仿宋_GB2312"/>
          <w:bCs/>
          <w:snapToGrid w:val="0"/>
          <w:color w:val="000000"/>
          <w:kern w:val="0"/>
          <w:sz w:val="32"/>
          <w:szCs w:val="32"/>
          <w:lang w:val="en-US" w:eastAsia="zh-CN" w:bidi="ar-SA"/>
        </w:rPr>
      </w:pPr>
      <w:r>
        <w:rPr>
          <w:rFonts w:hint="eastAsia" w:ascii="楷体" w:hAnsi="楷体" w:eastAsia="楷体" w:cs="楷体"/>
          <w:b w:val="0"/>
          <w:bCs w:val="0"/>
          <w:sz w:val="32"/>
          <w:szCs w:val="32"/>
          <w:lang w:val="en-US" w:eastAsia="zh-CN"/>
        </w:rPr>
        <w:t>3.验收方式：</w:t>
      </w:r>
      <w:r>
        <w:rPr>
          <w:rFonts w:hint="eastAsia" w:ascii="仿宋_GB2312" w:hAnsi="仿宋_GB2312" w:eastAsia="仿宋_GB2312" w:cs="仿宋_GB2312"/>
          <w:bCs/>
          <w:snapToGrid w:val="0"/>
          <w:color w:val="000000"/>
          <w:kern w:val="0"/>
          <w:sz w:val="32"/>
          <w:szCs w:val="32"/>
          <w:lang w:val="en-US" w:eastAsia="zh-CN" w:bidi="ar-SA"/>
        </w:rPr>
        <w:t>按国家有关规定以及采购要求的质量要求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5D389414">
      <w:pPr>
        <w:pStyle w:val="16"/>
        <w:numPr>
          <w:ilvl w:val="0"/>
          <w:numId w:val="0"/>
        </w:numPr>
        <w:ind w:leftChars="0" w:firstLine="640" w:firstLineChars="200"/>
        <w:jc w:val="both"/>
        <w:rPr>
          <w:rFonts w:hint="eastAsia" w:ascii="仿宋_GB2312" w:hAnsi="仿宋_GB2312" w:eastAsia="仿宋_GB2312" w:cs="仿宋_GB2312"/>
          <w:bCs/>
          <w:snapToGrid w:val="0"/>
          <w:color w:val="000000"/>
          <w:kern w:val="0"/>
          <w:sz w:val="32"/>
          <w:szCs w:val="32"/>
          <w:lang w:val="en-US" w:eastAsia="zh-CN" w:bidi="ar-SA"/>
        </w:rPr>
      </w:pPr>
      <w:r>
        <w:rPr>
          <w:rFonts w:hint="eastAsia" w:ascii="楷体" w:hAnsi="楷体" w:eastAsia="楷体" w:cs="楷体"/>
          <w:b w:val="0"/>
          <w:bCs w:val="0"/>
          <w:sz w:val="32"/>
          <w:szCs w:val="32"/>
          <w:lang w:val="en-US" w:eastAsia="zh-CN"/>
        </w:rPr>
        <w:t>4.付款方式：</w:t>
      </w:r>
      <w:r>
        <w:rPr>
          <w:rFonts w:hint="eastAsia" w:ascii="仿宋_GB2312" w:hAnsi="仿宋_GB2312" w:eastAsia="仿宋_GB2312" w:cs="仿宋_GB2312"/>
          <w:bCs/>
          <w:snapToGrid w:val="0"/>
          <w:color w:val="000000"/>
          <w:kern w:val="0"/>
          <w:sz w:val="32"/>
          <w:szCs w:val="32"/>
          <w:lang w:val="en-US" w:eastAsia="zh-CN" w:bidi="ar-SA"/>
        </w:rPr>
        <w:t>一次性付清，经采购人验收合格后，收到供应商提交的与合同总价相一致的合法、有效、完整的完税发票及凭证资料，通过采购人付款审签流程后15日内一次性支付合同总金额100%的款项。</w:t>
      </w:r>
    </w:p>
    <w:p w14:paraId="18006806">
      <w:pPr>
        <w:pStyle w:val="16"/>
        <w:numPr>
          <w:ilvl w:val="0"/>
          <w:numId w:val="0"/>
        </w:numPr>
        <w:ind w:firstLine="640" w:firstLineChars="200"/>
        <w:jc w:val="both"/>
        <w:rPr>
          <w:rFonts w:hint="eastAsia" w:ascii="仿宋_GB2312" w:hAnsi="仿宋_GB2312" w:eastAsia="仿宋_GB2312" w:cs="仿宋_GB2312"/>
          <w:bCs/>
          <w:snapToGrid w:val="0"/>
          <w:color w:val="000000"/>
          <w:kern w:val="0"/>
          <w:sz w:val="28"/>
          <w:szCs w:val="28"/>
          <w:lang w:val="en-US" w:eastAsia="zh-CN" w:bidi="ar-SA"/>
        </w:rPr>
      </w:pPr>
      <w:r>
        <w:rPr>
          <w:rFonts w:hint="eastAsia" w:ascii="楷体" w:hAnsi="楷体" w:eastAsia="楷体" w:cs="楷体"/>
          <w:b w:val="0"/>
          <w:bCs w:val="0"/>
          <w:sz w:val="32"/>
          <w:szCs w:val="32"/>
          <w:lang w:val="en-US" w:eastAsia="zh-CN"/>
        </w:rPr>
        <w:t>5.违约责任与解决争议的方法：</w:t>
      </w:r>
      <w:r>
        <w:rPr>
          <w:rFonts w:hint="eastAsia" w:ascii="仿宋_GB2312" w:hAnsi="仿宋_GB2312" w:eastAsia="仿宋_GB2312" w:cs="仿宋_GB2312"/>
          <w:bCs/>
          <w:snapToGrid w:val="0"/>
          <w:color w:val="000000"/>
          <w:kern w:val="0"/>
          <w:sz w:val="32"/>
          <w:szCs w:val="32"/>
          <w:lang w:val="en-US" w:eastAsia="zh-CN" w:bidi="ar-SA"/>
        </w:rPr>
        <w:t>政府采购合同的履行、违约责任和解决争议的方法等适用《中华人民共和国民法典》。</w:t>
      </w:r>
    </w:p>
    <w:p w14:paraId="1B0AA475">
      <w:pPr>
        <w:pStyle w:val="15"/>
        <w:numPr>
          <w:ilvl w:val="0"/>
          <w:numId w:val="0"/>
        </w:numPr>
        <w:ind w:firstLine="643" w:firstLineChars="200"/>
        <w:jc w:val="both"/>
        <w:rPr>
          <w:rFonts w:hint="eastAsia" w:ascii="黑体" w:hAnsi="黑体" w:eastAsia="黑体" w:cs="黑体"/>
          <w:b/>
          <w:bCs/>
          <w:color w:val="000000"/>
          <w:kern w:val="0"/>
          <w:sz w:val="32"/>
          <w:szCs w:val="32"/>
          <w:vertAlign w:val="baseline"/>
          <w:lang w:val="en-US" w:eastAsia="zh-CN" w:bidi="ar-SA"/>
        </w:rPr>
      </w:pPr>
      <w:r>
        <w:rPr>
          <w:rFonts w:hint="eastAsia" w:ascii="黑体" w:hAnsi="黑体" w:eastAsia="黑体" w:cs="黑体"/>
          <w:b/>
          <w:bCs/>
          <w:color w:val="000000"/>
          <w:kern w:val="0"/>
          <w:sz w:val="32"/>
          <w:szCs w:val="32"/>
          <w:vertAlign w:val="baseline"/>
          <w:lang w:val="en-US" w:eastAsia="zh-CN" w:bidi="ar-SA"/>
        </w:rPr>
        <w:t>四、评审办法</w:t>
      </w:r>
    </w:p>
    <w:p w14:paraId="65CB0E71">
      <w:pPr>
        <w:pStyle w:val="23"/>
        <w:rPr>
          <w:rFonts w:hint="eastAsia" w:ascii="仿宋_GB2312" w:hAnsi="仿宋_GB2312" w:eastAsia="仿宋_GB2312" w:cs="仿宋_GB2312"/>
          <w:bCs/>
          <w:snapToGrid w:val="0"/>
          <w:color w:val="000000"/>
          <w:kern w:val="0"/>
          <w:sz w:val="32"/>
          <w:szCs w:val="32"/>
          <w:lang w:val="en-US" w:eastAsia="zh-CN" w:bidi="ar-SA"/>
        </w:rPr>
      </w:pPr>
      <w:r>
        <w:rPr>
          <w:rFonts w:hint="eastAsia" w:ascii="仿宋_GB2312" w:hAnsi="仿宋_GB2312" w:eastAsia="仿宋_GB2312" w:cs="仿宋_GB2312"/>
          <w:bCs/>
          <w:snapToGrid w:val="0"/>
          <w:color w:val="000000"/>
          <w:kern w:val="0"/>
          <w:sz w:val="32"/>
          <w:szCs w:val="32"/>
          <w:lang w:val="en-US" w:eastAsia="zh-CN" w:bidi="ar-SA"/>
        </w:rPr>
        <w:t>本项目采用综合评分法。</w:t>
      </w:r>
    </w:p>
    <w:p w14:paraId="51F6AFAE">
      <w:pPr>
        <w:pStyle w:val="15"/>
        <w:numPr>
          <w:ilvl w:val="0"/>
          <w:numId w:val="0"/>
        </w:numPr>
        <w:ind w:firstLine="643" w:firstLineChars="200"/>
        <w:jc w:val="both"/>
        <w:rPr>
          <w:rFonts w:hint="eastAsia" w:ascii="黑体" w:hAnsi="黑体" w:eastAsia="黑体" w:cs="黑体"/>
          <w:b/>
          <w:bCs/>
          <w:color w:val="000000"/>
          <w:kern w:val="0"/>
          <w:sz w:val="32"/>
          <w:szCs w:val="32"/>
          <w:vertAlign w:val="baseline"/>
          <w:lang w:val="en-US" w:eastAsia="zh-CN" w:bidi="ar-SA"/>
        </w:rPr>
      </w:pPr>
      <w:r>
        <w:rPr>
          <w:rFonts w:hint="eastAsia" w:ascii="黑体" w:hAnsi="黑体" w:eastAsia="黑体" w:cs="黑体"/>
          <w:b/>
          <w:bCs/>
          <w:color w:val="000000"/>
          <w:kern w:val="0"/>
          <w:sz w:val="32"/>
          <w:szCs w:val="32"/>
          <w:vertAlign w:val="baseline"/>
          <w:lang w:val="en-US" w:eastAsia="zh-CN" w:bidi="ar-SA"/>
        </w:rPr>
        <w:t>五、评审标准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684"/>
        <w:gridCol w:w="467"/>
        <w:gridCol w:w="6445"/>
        <w:gridCol w:w="463"/>
      </w:tblGrid>
      <w:tr w14:paraId="2754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63" w:type="dxa"/>
            <w:vAlign w:val="center"/>
          </w:tcPr>
          <w:p w14:paraId="51EADAFD">
            <w:pPr>
              <w:pStyle w:val="19"/>
              <w:ind w:firstLine="0" w:firstLineChars="0"/>
              <w:jc w:val="center"/>
              <w:rPr>
                <w:rFonts w:hint="eastAsia" w:eastAsia="宋体" w:cs="宋体"/>
                <w:b/>
                <w:bCs/>
                <w:sz w:val="21"/>
                <w:szCs w:val="21"/>
              </w:rPr>
            </w:pPr>
            <w:r>
              <w:rPr>
                <w:rFonts w:hint="eastAsia" w:eastAsia="宋体" w:cs="宋体"/>
                <w:b/>
                <w:bCs/>
                <w:sz w:val="21"/>
                <w:szCs w:val="21"/>
              </w:rPr>
              <w:t>序号</w:t>
            </w:r>
          </w:p>
        </w:tc>
        <w:tc>
          <w:tcPr>
            <w:tcW w:w="684" w:type="dxa"/>
            <w:vAlign w:val="center"/>
          </w:tcPr>
          <w:p w14:paraId="1E1E0055">
            <w:pPr>
              <w:pStyle w:val="19"/>
              <w:jc w:val="center"/>
              <w:rPr>
                <w:rFonts w:hint="eastAsia" w:eastAsia="宋体" w:cs="宋体"/>
                <w:b/>
                <w:bCs/>
                <w:sz w:val="21"/>
                <w:szCs w:val="21"/>
              </w:rPr>
            </w:pPr>
            <w:r>
              <w:rPr>
                <w:rFonts w:hint="eastAsia" w:eastAsia="宋体" w:cs="宋体"/>
                <w:b/>
                <w:bCs/>
                <w:sz w:val="21"/>
                <w:szCs w:val="21"/>
              </w:rPr>
              <w:t>评分因素</w:t>
            </w:r>
          </w:p>
          <w:p w14:paraId="4CB0D78E">
            <w:pPr>
              <w:pStyle w:val="19"/>
              <w:jc w:val="center"/>
              <w:rPr>
                <w:rFonts w:hint="eastAsia" w:eastAsia="宋体" w:cs="宋体"/>
                <w:b/>
                <w:bCs/>
                <w:sz w:val="21"/>
                <w:szCs w:val="21"/>
              </w:rPr>
            </w:pPr>
            <w:r>
              <w:rPr>
                <w:rFonts w:hint="eastAsia" w:eastAsia="宋体" w:cs="宋体"/>
                <w:b/>
                <w:bCs/>
                <w:sz w:val="21"/>
                <w:szCs w:val="21"/>
              </w:rPr>
              <w:t>及权重</w:t>
            </w:r>
          </w:p>
        </w:tc>
        <w:tc>
          <w:tcPr>
            <w:tcW w:w="0" w:type="auto"/>
            <w:vAlign w:val="center"/>
          </w:tcPr>
          <w:p w14:paraId="5619DEE5">
            <w:pPr>
              <w:pStyle w:val="19"/>
              <w:jc w:val="center"/>
              <w:rPr>
                <w:rFonts w:hint="eastAsia" w:eastAsia="宋体" w:cs="宋体"/>
                <w:b/>
                <w:bCs/>
                <w:sz w:val="21"/>
                <w:szCs w:val="21"/>
              </w:rPr>
            </w:pPr>
            <w:r>
              <w:rPr>
                <w:rFonts w:hint="eastAsia" w:eastAsia="宋体" w:cs="宋体"/>
                <w:b/>
                <w:bCs/>
                <w:sz w:val="21"/>
                <w:szCs w:val="21"/>
              </w:rPr>
              <w:t>分值</w:t>
            </w:r>
          </w:p>
        </w:tc>
        <w:tc>
          <w:tcPr>
            <w:tcW w:w="0" w:type="auto"/>
            <w:vAlign w:val="center"/>
          </w:tcPr>
          <w:p w14:paraId="48560EE5">
            <w:pPr>
              <w:pStyle w:val="19"/>
              <w:ind w:firstLine="422"/>
              <w:jc w:val="center"/>
              <w:rPr>
                <w:rFonts w:hint="eastAsia" w:eastAsia="宋体" w:cs="宋体"/>
                <w:b/>
                <w:bCs/>
                <w:sz w:val="21"/>
                <w:szCs w:val="21"/>
              </w:rPr>
            </w:pPr>
            <w:r>
              <w:rPr>
                <w:rFonts w:hint="eastAsia" w:eastAsia="宋体" w:cs="宋体"/>
                <w:b/>
                <w:bCs/>
                <w:sz w:val="21"/>
                <w:szCs w:val="21"/>
              </w:rPr>
              <w:t>评分标准</w:t>
            </w:r>
          </w:p>
        </w:tc>
        <w:tc>
          <w:tcPr>
            <w:tcW w:w="0" w:type="auto"/>
            <w:vAlign w:val="center"/>
          </w:tcPr>
          <w:p w14:paraId="47CEBC48">
            <w:pPr>
              <w:pStyle w:val="19"/>
              <w:ind w:firstLine="0" w:firstLineChars="0"/>
              <w:jc w:val="center"/>
              <w:rPr>
                <w:rFonts w:hint="eastAsia" w:eastAsia="宋体" w:cs="宋体"/>
                <w:b/>
                <w:bCs/>
                <w:sz w:val="21"/>
                <w:szCs w:val="21"/>
              </w:rPr>
            </w:pPr>
            <w:r>
              <w:rPr>
                <w:rFonts w:hint="eastAsia" w:eastAsia="宋体" w:cs="宋体"/>
                <w:b/>
                <w:bCs/>
                <w:sz w:val="21"/>
                <w:szCs w:val="21"/>
              </w:rPr>
              <w:t>说明</w:t>
            </w:r>
          </w:p>
        </w:tc>
      </w:tr>
      <w:tr w14:paraId="441E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463" w:type="dxa"/>
            <w:vAlign w:val="center"/>
          </w:tcPr>
          <w:p w14:paraId="6CF0FC8D">
            <w:pPr>
              <w:pStyle w:val="19"/>
              <w:ind w:firstLine="0" w:firstLineChars="0"/>
              <w:jc w:val="both"/>
              <w:rPr>
                <w:rFonts w:hint="eastAsia" w:eastAsia="宋体" w:cs="宋体"/>
                <w:sz w:val="21"/>
                <w:szCs w:val="21"/>
              </w:rPr>
            </w:pPr>
            <w:r>
              <w:rPr>
                <w:rFonts w:hint="eastAsia" w:eastAsia="宋体" w:cs="宋体"/>
                <w:sz w:val="21"/>
                <w:szCs w:val="21"/>
              </w:rPr>
              <w:t>1</w:t>
            </w:r>
          </w:p>
        </w:tc>
        <w:tc>
          <w:tcPr>
            <w:tcW w:w="684" w:type="dxa"/>
            <w:vAlign w:val="center"/>
          </w:tcPr>
          <w:p w14:paraId="46B273FA">
            <w:pPr>
              <w:pStyle w:val="19"/>
              <w:ind w:firstLine="0" w:firstLineChars="0"/>
              <w:jc w:val="both"/>
              <w:rPr>
                <w:rFonts w:hint="eastAsia" w:eastAsia="宋体" w:cs="宋体"/>
                <w:sz w:val="21"/>
                <w:szCs w:val="21"/>
              </w:rPr>
            </w:pPr>
            <w:r>
              <w:rPr>
                <w:rFonts w:hint="eastAsia" w:eastAsia="宋体" w:cs="宋体"/>
                <w:sz w:val="21"/>
                <w:szCs w:val="21"/>
              </w:rPr>
              <w:t>投标报价30%</w:t>
            </w:r>
          </w:p>
        </w:tc>
        <w:tc>
          <w:tcPr>
            <w:tcW w:w="0" w:type="auto"/>
            <w:vAlign w:val="center"/>
          </w:tcPr>
          <w:p w14:paraId="4F708C04">
            <w:pPr>
              <w:pStyle w:val="19"/>
              <w:jc w:val="both"/>
              <w:rPr>
                <w:rFonts w:hint="eastAsia" w:eastAsia="宋体" w:cs="宋体"/>
                <w:sz w:val="21"/>
                <w:szCs w:val="21"/>
              </w:rPr>
            </w:pPr>
            <w:r>
              <w:rPr>
                <w:rFonts w:hint="eastAsia" w:eastAsia="宋体" w:cs="宋体"/>
                <w:sz w:val="21"/>
                <w:szCs w:val="21"/>
              </w:rPr>
              <w:t>30分</w:t>
            </w:r>
          </w:p>
        </w:tc>
        <w:tc>
          <w:tcPr>
            <w:tcW w:w="0" w:type="auto"/>
            <w:vAlign w:val="center"/>
          </w:tcPr>
          <w:p w14:paraId="14456D2F">
            <w:pPr>
              <w:pStyle w:val="20"/>
              <w:ind w:left="0" w:leftChars="0" w:firstLine="0" w:firstLineChars="0"/>
              <w:rPr>
                <w:rFonts w:hint="eastAsia" w:eastAsia="宋体" w:cs="宋体"/>
                <w:szCs w:val="21"/>
              </w:rPr>
            </w:pPr>
            <w:r>
              <w:rPr>
                <w:rFonts w:hint="eastAsia" w:eastAsia="宋体" w:cs="宋体"/>
                <w:szCs w:val="21"/>
              </w:rPr>
              <w:t>满足招标文件要求且投标价格最低的投标报价为评标基准价，其价格分为满分。其他投标人的价格分统一按照下列公式计算：</w:t>
            </w:r>
          </w:p>
          <w:p w14:paraId="7867FCDB">
            <w:pPr>
              <w:pStyle w:val="20"/>
              <w:ind w:left="21" w:leftChars="10"/>
              <w:rPr>
                <w:rFonts w:hint="eastAsia" w:eastAsia="宋体" w:cs="宋体"/>
                <w:szCs w:val="21"/>
              </w:rPr>
            </w:pPr>
            <w:r>
              <w:rPr>
                <w:rFonts w:hint="eastAsia" w:eastAsia="宋体" w:cs="宋体"/>
                <w:szCs w:val="21"/>
              </w:rPr>
              <w:t>报价得分=(评标基准价/投标报价)×</w:t>
            </w:r>
            <w:r>
              <w:rPr>
                <w:rFonts w:hint="eastAsia" w:eastAsia="宋体" w:cs="宋体"/>
                <w:szCs w:val="21"/>
                <w:lang w:val="en-US" w:eastAsia="zh-CN"/>
              </w:rPr>
              <w:t>3</w:t>
            </w:r>
            <w:r>
              <w:rPr>
                <w:rFonts w:hint="eastAsia" w:eastAsia="宋体" w:cs="宋体"/>
                <w:szCs w:val="21"/>
              </w:rPr>
              <w:t>0；</w:t>
            </w:r>
          </w:p>
        </w:tc>
        <w:tc>
          <w:tcPr>
            <w:tcW w:w="0" w:type="auto"/>
            <w:vAlign w:val="center"/>
          </w:tcPr>
          <w:p w14:paraId="6F389A0D">
            <w:pPr>
              <w:pStyle w:val="19"/>
              <w:ind w:firstLine="0" w:firstLineChars="0"/>
              <w:jc w:val="both"/>
              <w:rPr>
                <w:rFonts w:hint="eastAsia" w:eastAsia="宋体" w:cs="宋体"/>
                <w:sz w:val="21"/>
                <w:szCs w:val="21"/>
              </w:rPr>
            </w:pPr>
          </w:p>
        </w:tc>
      </w:tr>
      <w:tr w14:paraId="4D4C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63" w:type="dxa"/>
            <w:tcBorders>
              <w:left w:val="single" w:color="auto" w:sz="4" w:space="0"/>
              <w:right w:val="single" w:color="auto" w:sz="4" w:space="0"/>
            </w:tcBorders>
            <w:vAlign w:val="center"/>
          </w:tcPr>
          <w:p w14:paraId="5B196900">
            <w:pPr>
              <w:pStyle w:val="19"/>
              <w:ind w:firstLine="0" w:firstLineChars="0"/>
              <w:jc w:val="both"/>
              <w:rPr>
                <w:rFonts w:hint="eastAsia" w:eastAsia="宋体" w:cs="宋体"/>
                <w:sz w:val="21"/>
                <w:szCs w:val="21"/>
              </w:rPr>
            </w:pPr>
            <w:r>
              <w:rPr>
                <w:rFonts w:hint="eastAsia" w:eastAsia="宋体" w:cs="宋体"/>
                <w:sz w:val="21"/>
                <w:szCs w:val="21"/>
              </w:rPr>
              <w:t>2</w:t>
            </w:r>
          </w:p>
        </w:tc>
        <w:tc>
          <w:tcPr>
            <w:tcW w:w="684" w:type="dxa"/>
            <w:tcBorders>
              <w:left w:val="single" w:color="auto" w:sz="4" w:space="0"/>
              <w:right w:val="single" w:color="auto" w:sz="4" w:space="0"/>
            </w:tcBorders>
            <w:vAlign w:val="center"/>
          </w:tcPr>
          <w:p w14:paraId="66FBF58A">
            <w:pPr>
              <w:tabs>
                <w:tab w:val="left" w:pos="0"/>
              </w:tabs>
              <w:kinsoku w:val="0"/>
              <w:wordWrap w:val="0"/>
              <w:topLinePunct/>
              <w:spacing w:line="360" w:lineRule="exact"/>
              <w:ind w:firstLine="0" w:firstLineChars="0"/>
              <w:rPr>
                <w:rFonts w:hint="eastAsia" w:eastAsia="宋体" w:cs="宋体"/>
                <w:sz w:val="21"/>
                <w:szCs w:val="21"/>
              </w:rPr>
            </w:pPr>
            <w:r>
              <w:rPr>
                <w:rFonts w:hint="eastAsia" w:eastAsia="宋体" w:cs="宋体"/>
                <w:sz w:val="21"/>
                <w:szCs w:val="21"/>
              </w:rPr>
              <w:t>服务方案40%</w:t>
            </w:r>
          </w:p>
        </w:tc>
        <w:tc>
          <w:tcPr>
            <w:tcW w:w="0" w:type="auto"/>
            <w:tcBorders>
              <w:top w:val="single" w:color="auto" w:sz="4" w:space="0"/>
              <w:left w:val="single" w:color="auto" w:sz="4" w:space="0"/>
              <w:bottom w:val="single" w:color="auto" w:sz="4" w:space="0"/>
              <w:right w:val="single" w:color="auto" w:sz="4" w:space="0"/>
            </w:tcBorders>
            <w:vAlign w:val="center"/>
          </w:tcPr>
          <w:p w14:paraId="542CE313">
            <w:pPr>
              <w:tabs>
                <w:tab w:val="left" w:pos="0"/>
              </w:tabs>
              <w:kinsoku w:val="0"/>
              <w:wordWrap w:val="0"/>
              <w:topLinePunct/>
              <w:spacing w:line="360" w:lineRule="exact"/>
              <w:ind w:firstLine="420"/>
              <w:jc w:val="center"/>
              <w:rPr>
                <w:rFonts w:hint="eastAsia" w:eastAsia="宋体" w:cs="宋体"/>
                <w:sz w:val="21"/>
                <w:szCs w:val="21"/>
              </w:rPr>
            </w:pPr>
          </w:p>
          <w:p w14:paraId="4600A417">
            <w:pPr>
              <w:tabs>
                <w:tab w:val="left" w:pos="0"/>
              </w:tabs>
              <w:kinsoku w:val="0"/>
              <w:wordWrap w:val="0"/>
              <w:topLinePunct/>
              <w:spacing w:line="360" w:lineRule="exact"/>
              <w:jc w:val="both"/>
              <w:rPr>
                <w:rFonts w:hint="eastAsia" w:eastAsia="宋体" w:cs="宋体"/>
                <w:sz w:val="21"/>
                <w:szCs w:val="21"/>
              </w:rPr>
            </w:pPr>
            <w:r>
              <w:rPr>
                <w:rFonts w:hint="eastAsia" w:eastAsia="宋体" w:cs="宋体"/>
                <w:sz w:val="21"/>
                <w:szCs w:val="21"/>
                <w:lang w:val="en-US" w:eastAsia="zh-CN"/>
              </w:rPr>
              <w:t>4</w:t>
            </w:r>
            <w:r>
              <w:rPr>
                <w:rFonts w:hint="eastAsia" w:eastAsia="宋体" w:cs="宋体"/>
                <w:sz w:val="21"/>
                <w:szCs w:val="21"/>
              </w:rPr>
              <w:t>0分</w:t>
            </w:r>
          </w:p>
        </w:tc>
        <w:tc>
          <w:tcPr>
            <w:tcW w:w="0" w:type="auto"/>
            <w:tcBorders>
              <w:top w:val="single" w:color="auto" w:sz="4" w:space="0"/>
              <w:left w:val="single" w:color="auto" w:sz="4" w:space="0"/>
              <w:bottom w:val="single" w:color="auto" w:sz="4" w:space="0"/>
              <w:right w:val="single" w:color="auto" w:sz="4" w:space="0"/>
            </w:tcBorders>
            <w:vAlign w:val="center"/>
          </w:tcPr>
          <w:p w14:paraId="2A193493">
            <w:pPr>
              <w:pStyle w:val="21"/>
              <w:spacing w:line="480" w:lineRule="auto"/>
              <w:ind w:right="101" w:firstLine="420"/>
              <w:jc w:val="both"/>
              <w:rPr>
                <w:rFonts w:hint="eastAsia" w:eastAsia="宋体"/>
                <w:sz w:val="21"/>
                <w:szCs w:val="21"/>
                <w:lang w:eastAsia="zh-CN"/>
              </w:rPr>
            </w:pPr>
            <w:r>
              <w:rPr>
                <w:rFonts w:hint="eastAsia" w:eastAsia="宋体"/>
                <w:sz w:val="21"/>
                <w:szCs w:val="21"/>
                <w:lang w:val="en-US"/>
              </w:rPr>
              <w:t>根据供应商针对本项目提供的服务方案（包含1.项目概述；2.</w:t>
            </w:r>
            <w:r>
              <w:rPr>
                <w:rFonts w:hint="eastAsia" w:eastAsia="宋体"/>
                <w:spacing w:val="-6"/>
                <w:sz w:val="21"/>
                <w:szCs w:val="21"/>
              </w:rPr>
              <w:t>项目建设背景、需求分析及产出方案</w:t>
            </w:r>
            <w:r>
              <w:rPr>
                <w:rFonts w:hint="eastAsia" w:eastAsia="宋体"/>
                <w:sz w:val="21"/>
                <w:szCs w:val="21"/>
                <w:lang w:val="en-US"/>
              </w:rPr>
              <w:t>；3.项目选址与要素保障；4.项目建设方案；5.项目运营方案；6.项目投融资与财务方案；7.项目影响效果分析；8.研究结论及建议。方案完整、详细、合理、完全贴合本项目实际的得40分；每有一项缺项扣</w:t>
            </w:r>
            <w:r>
              <w:rPr>
                <w:rFonts w:hint="eastAsia" w:eastAsia="宋体"/>
                <w:sz w:val="21"/>
                <w:szCs w:val="21"/>
                <w:lang w:val="en-US" w:eastAsia="zh-CN"/>
              </w:rPr>
              <w:t>5</w:t>
            </w:r>
            <w:bookmarkStart w:id="0" w:name="_GoBack"/>
            <w:bookmarkEnd w:id="0"/>
            <w:r>
              <w:rPr>
                <w:rFonts w:hint="eastAsia" w:eastAsia="宋体"/>
                <w:sz w:val="21"/>
                <w:szCs w:val="21"/>
                <w:lang w:val="en-US"/>
              </w:rPr>
              <w:t>分；每有一处不合理/有偏差/有漏洞/与实际不符/过于简略/存在无关的内容的扣4分</w:t>
            </w:r>
            <w:r>
              <w:rPr>
                <w:rFonts w:hint="eastAsia" w:eastAsia="宋体"/>
                <w:sz w:val="21"/>
                <w:szCs w:val="21"/>
                <w:lang w:val="en-US" w:eastAsia="zh-CN"/>
              </w:rPr>
              <w:t>。</w:t>
            </w:r>
          </w:p>
        </w:tc>
        <w:tc>
          <w:tcPr>
            <w:tcW w:w="0" w:type="auto"/>
            <w:tcBorders>
              <w:left w:val="single" w:color="auto" w:sz="4" w:space="0"/>
              <w:right w:val="single" w:color="auto" w:sz="4" w:space="0"/>
            </w:tcBorders>
            <w:vAlign w:val="center"/>
          </w:tcPr>
          <w:p w14:paraId="58922143">
            <w:pPr>
              <w:tabs>
                <w:tab w:val="left" w:pos="0"/>
              </w:tabs>
              <w:wordWrap w:val="0"/>
              <w:spacing w:line="360" w:lineRule="exact"/>
              <w:ind w:firstLine="420"/>
              <w:rPr>
                <w:rFonts w:hint="eastAsia" w:eastAsia="宋体" w:cs="宋体"/>
                <w:sz w:val="21"/>
                <w:szCs w:val="21"/>
              </w:rPr>
            </w:pPr>
          </w:p>
        </w:tc>
      </w:tr>
      <w:tr w14:paraId="3CBD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 w:type="dxa"/>
            <w:tcBorders>
              <w:left w:val="single" w:color="auto" w:sz="4" w:space="0"/>
              <w:right w:val="single" w:color="auto" w:sz="4" w:space="0"/>
            </w:tcBorders>
            <w:vAlign w:val="center"/>
          </w:tcPr>
          <w:p w14:paraId="7B0CAE3A">
            <w:pPr>
              <w:pStyle w:val="19"/>
              <w:ind w:firstLine="0" w:firstLineChars="0"/>
              <w:jc w:val="both"/>
              <w:rPr>
                <w:rFonts w:hint="eastAsia" w:eastAsia="宋体" w:cs="宋体"/>
                <w:sz w:val="21"/>
                <w:szCs w:val="21"/>
              </w:rPr>
            </w:pPr>
            <w:r>
              <w:rPr>
                <w:rFonts w:hint="eastAsia" w:eastAsia="宋体" w:cs="宋体"/>
                <w:sz w:val="21"/>
                <w:szCs w:val="21"/>
              </w:rPr>
              <w:t>3</w:t>
            </w:r>
          </w:p>
        </w:tc>
        <w:tc>
          <w:tcPr>
            <w:tcW w:w="684" w:type="dxa"/>
            <w:tcBorders>
              <w:left w:val="single" w:color="auto" w:sz="4" w:space="0"/>
              <w:right w:val="single" w:color="auto" w:sz="4" w:space="0"/>
            </w:tcBorders>
            <w:vAlign w:val="center"/>
          </w:tcPr>
          <w:p w14:paraId="67E792A1">
            <w:pPr>
              <w:tabs>
                <w:tab w:val="left" w:pos="0"/>
              </w:tabs>
              <w:kinsoku w:val="0"/>
              <w:wordWrap w:val="0"/>
              <w:topLinePunct/>
              <w:spacing w:line="360" w:lineRule="exact"/>
              <w:ind w:firstLine="0" w:firstLineChars="0"/>
              <w:jc w:val="both"/>
              <w:rPr>
                <w:rFonts w:hint="eastAsia" w:eastAsia="宋体" w:cs="宋体"/>
                <w:sz w:val="21"/>
                <w:szCs w:val="21"/>
              </w:rPr>
            </w:pPr>
            <w:r>
              <w:rPr>
                <w:rFonts w:hint="eastAsia" w:eastAsia="宋体" w:cs="宋体"/>
                <w:sz w:val="21"/>
                <w:szCs w:val="21"/>
              </w:rPr>
              <w:t>履约能力20%</w:t>
            </w:r>
          </w:p>
        </w:tc>
        <w:tc>
          <w:tcPr>
            <w:tcW w:w="0" w:type="auto"/>
            <w:tcBorders>
              <w:top w:val="single" w:color="auto" w:sz="4" w:space="0"/>
              <w:left w:val="single" w:color="auto" w:sz="4" w:space="0"/>
              <w:bottom w:val="single" w:color="auto" w:sz="4" w:space="0"/>
              <w:right w:val="single" w:color="auto" w:sz="4" w:space="0"/>
            </w:tcBorders>
            <w:vAlign w:val="center"/>
          </w:tcPr>
          <w:p w14:paraId="7C257607">
            <w:pPr>
              <w:tabs>
                <w:tab w:val="left" w:pos="0"/>
              </w:tabs>
              <w:kinsoku w:val="0"/>
              <w:wordWrap w:val="0"/>
              <w:topLinePunct/>
              <w:spacing w:line="360" w:lineRule="exact"/>
              <w:jc w:val="both"/>
              <w:rPr>
                <w:rFonts w:hint="eastAsia" w:eastAsia="宋体" w:cs="宋体"/>
                <w:sz w:val="21"/>
                <w:szCs w:val="21"/>
              </w:rPr>
            </w:pPr>
            <w:r>
              <w:rPr>
                <w:rFonts w:hint="eastAsia" w:eastAsia="宋体" w:cs="宋体"/>
                <w:sz w:val="21"/>
                <w:szCs w:val="21"/>
                <w:lang w:val="en-US" w:eastAsia="zh-CN"/>
              </w:rPr>
              <w:t>2</w:t>
            </w:r>
            <w:r>
              <w:rPr>
                <w:rFonts w:hint="eastAsia" w:eastAsia="宋体" w:cs="宋体"/>
                <w:sz w:val="21"/>
                <w:szCs w:val="21"/>
              </w:rPr>
              <w:t>0分</w:t>
            </w:r>
          </w:p>
        </w:tc>
        <w:tc>
          <w:tcPr>
            <w:tcW w:w="0" w:type="auto"/>
            <w:tcBorders>
              <w:top w:val="single" w:color="auto" w:sz="4" w:space="0"/>
              <w:left w:val="single" w:color="auto" w:sz="4" w:space="0"/>
              <w:bottom w:val="single" w:color="auto" w:sz="4" w:space="0"/>
              <w:right w:val="single" w:color="auto" w:sz="4" w:space="0"/>
            </w:tcBorders>
            <w:vAlign w:val="center"/>
          </w:tcPr>
          <w:p w14:paraId="07FAC02F">
            <w:pPr>
              <w:pStyle w:val="22"/>
              <w:kinsoku w:val="0"/>
              <w:wordWrap w:val="0"/>
              <w:topLinePunct/>
              <w:spacing w:line="360" w:lineRule="exact"/>
              <w:ind w:firstLine="0" w:firstLineChars="0"/>
              <w:rPr>
                <w:rFonts w:hint="eastAsia" w:eastAsia="宋体" w:cs="宋体"/>
                <w:bCs/>
                <w:sz w:val="21"/>
                <w:szCs w:val="21"/>
                <w:lang w:eastAsia="zh-CN"/>
              </w:rPr>
            </w:pPr>
            <w:r>
              <w:rPr>
                <w:rFonts w:hint="eastAsia" w:eastAsia="宋体" w:cs="宋体"/>
                <w:bCs/>
                <w:sz w:val="21"/>
                <w:szCs w:val="21"/>
              </w:rPr>
              <w:t>1.2024年1月1日以来具有1个类似业绩的得10分，本项共计20分。类似业绩是指医疗建设项目可行性研究报告，证明材料为:合同关键页(即合同首页、服务内容信息页、签字盖章页)复印件，并加盖报价单位鲜章</w:t>
            </w:r>
            <w:r>
              <w:rPr>
                <w:rFonts w:hint="eastAsia" w:eastAsia="宋体" w:cs="宋体"/>
                <w:bCs/>
                <w:sz w:val="21"/>
                <w:szCs w:val="21"/>
                <w:lang w:eastAsia="zh-CN"/>
              </w:rPr>
              <w:t>。</w:t>
            </w:r>
          </w:p>
        </w:tc>
        <w:tc>
          <w:tcPr>
            <w:tcW w:w="0" w:type="auto"/>
            <w:tcBorders>
              <w:left w:val="single" w:color="auto" w:sz="4" w:space="0"/>
              <w:right w:val="single" w:color="auto" w:sz="4" w:space="0"/>
            </w:tcBorders>
            <w:vAlign w:val="center"/>
          </w:tcPr>
          <w:p w14:paraId="07CC9CD4">
            <w:pPr>
              <w:pStyle w:val="19"/>
              <w:ind w:firstLine="0" w:firstLineChars="0"/>
              <w:jc w:val="both"/>
              <w:rPr>
                <w:rFonts w:hint="eastAsia" w:eastAsia="宋体" w:cs="宋体"/>
                <w:sz w:val="21"/>
                <w:szCs w:val="21"/>
              </w:rPr>
            </w:pPr>
          </w:p>
        </w:tc>
      </w:tr>
      <w:tr w14:paraId="3943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 w:type="dxa"/>
            <w:tcBorders>
              <w:left w:val="single" w:color="auto" w:sz="4" w:space="0"/>
              <w:right w:val="single" w:color="auto" w:sz="4" w:space="0"/>
            </w:tcBorders>
            <w:vAlign w:val="center"/>
          </w:tcPr>
          <w:p w14:paraId="028FFFCB">
            <w:pPr>
              <w:pStyle w:val="19"/>
              <w:ind w:firstLine="0" w:firstLineChars="0"/>
              <w:jc w:val="both"/>
              <w:rPr>
                <w:rFonts w:hint="eastAsia" w:eastAsia="宋体" w:cs="宋体"/>
                <w:sz w:val="21"/>
                <w:szCs w:val="21"/>
              </w:rPr>
            </w:pPr>
            <w:r>
              <w:rPr>
                <w:rFonts w:hint="eastAsia" w:eastAsia="宋体" w:cs="宋体"/>
                <w:sz w:val="21"/>
                <w:szCs w:val="21"/>
              </w:rPr>
              <w:t>4</w:t>
            </w:r>
          </w:p>
        </w:tc>
        <w:tc>
          <w:tcPr>
            <w:tcW w:w="684" w:type="dxa"/>
            <w:tcBorders>
              <w:left w:val="single" w:color="auto" w:sz="4" w:space="0"/>
              <w:right w:val="single" w:color="auto" w:sz="4" w:space="0"/>
            </w:tcBorders>
            <w:vAlign w:val="center"/>
          </w:tcPr>
          <w:p w14:paraId="260C6514">
            <w:pPr>
              <w:tabs>
                <w:tab w:val="left" w:pos="0"/>
              </w:tabs>
              <w:kinsoku w:val="0"/>
              <w:wordWrap w:val="0"/>
              <w:topLinePunct/>
              <w:spacing w:line="360" w:lineRule="exact"/>
              <w:ind w:firstLine="0" w:firstLineChars="0"/>
              <w:jc w:val="both"/>
              <w:rPr>
                <w:rFonts w:hint="eastAsia" w:eastAsia="宋体" w:cs="宋体"/>
                <w:sz w:val="21"/>
                <w:szCs w:val="21"/>
              </w:rPr>
            </w:pPr>
            <w:r>
              <w:rPr>
                <w:rFonts w:hint="eastAsia" w:eastAsia="宋体" w:cs="宋体"/>
                <w:sz w:val="21"/>
                <w:szCs w:val="21"/>
              </w:rPr>
              <w:t>人员配置10%</w:t>
            </w:r>
          </w:p>
        </w:tc>
        <w:tc>
          <w:tcPr>
            <w:tcW w:w="0" w:type="auto"/>
            <w:tcBorders>
              <w:top w:val="single" w:color="auto" w:sz="4" w:space="0"/>
              <w:left w:val="single" w:color="auto" w:sz="4" w:space="0"/>
              <w:bottom w:val="single" w:color="auto" w:sz="4" w:space="0"/>
              <w:right w:val="single" w:color="auto" w:sz="4" w:space="0"/>
            </w:tcBorders>
            <w:vAlign w:val="center"/>
          </w:tcPr>
          <w:p w14:paraId="04A687C4">
            <w:pPr>
              <w:tabs>
                <w:tab w:val="left" w:pos="0"/>
              </w:tabs>
              <w:kinsoku w:val="0"/>
              <w:wordWrap w:val="0"/>
              <w:topLinePunct/>
              <w:spacing w:line="360" w:lineRule="exact"/>
              <w:jc w:val="both"/>
              <w:rPr>
                <w:rFonts w:hint="default" w:eastAsia="宋体" w:cs="宋体"/>
                <w:sz w:val="21"/>
                <w:szCs w:val="21"/>
                <w:lang w:val="en-US" w:eastAsia="zh-CN"/>
              </w:rPr>
            </w:pPr>
            <w:r>
              <w:rPr>
                <w:rFonts w:hint="eastAsia" w:eastAsia="宋体" w:cs="宋体"/>
                <w:sz w:val="21"/>
                <w:szCs w:val="21"/>
                <w:lang w:val="en-US" w:eastAsia="zh-CN"/>
              </w:rPr>
              <w:t>10分</w:t>
            </w:r>
          </w:p>
        </w:tc>
        <w:tc>
          <w:tcPr>
            <w:tcW w:w="0" w:type="auto"/>
            <w:tcBorders>
              <w:top w:val="single" w:color="auto" w:sz="4" w:space="0"/>
              <w:left w:val="single" w:color="auto" w:sz="4" w:space="0"/>
              <w:bottom w:val="single" w:color="auto" w:sz="4" w:space="0"/>
              <w:right w:val="single" w:color="auto" w:sz="4" w:space="0"/>
            </w:tcBorders>
            <w:vAlign w:val="center"/>
          </w:tcPr>
          <w:p w14:paraId="2398DA1A">
            <w:pPr>
              <w:pStyle w:val="10"/>
              <w:widowControl w:val="0"/>
              <w:tabs>
                <w:tab w:val="left" w:pos="0"/>
              </w:tabs>
              <w:topLinePunct/>
              <w:snapToGrid w:val="0"/>
              <w:spacing w:before="0" w:beforeAutospacing="0" w:after="0" w:afterAutospacing="0" w:line="320" w:lineRule="exact"/>
              <w:rPr>
                <w:rFonts w:hint="eastAsia" w:cs="宋体"/>
                <w:sz w:val="24"/>
                <w:szCs w:val="24"/>
              </w:rPr>
            </w:pPr>
            <w:r>
              <w:rPr>
                <w:rFonts w:hint="eastAsia" w:cs="宋体"/>
                <w:kern w:val="2"/>
                <w:sz w:val="24"/>
                <w:szCs w:val="24"/>
                <w:lang w:bidi="ar"/>
              </w:rPr>
              <w:t>1.供应商拟投入本项目的项目负责人</w:t>
            </w:r>
            <w:r>
              <w:rPr>
                <w:rFonts w:hint="eastAsia" w:cs="宋体"/>
                <w:kern w:val="2"/>
                <w:sz w:val="24"/>
                <w:szCs w:val="24"/>
                <w:lang w:val="en-US" w:eastAsia="zh-CN" w:bidi="ar"/>
              </w:rPr>
              <w:t>或资料员</w:t>
            </w:r>
            <w:r>
              <w:rPr>
                <w:rFonts w:hint="eastAsia" w:cs="宋体"/>
                <w:kern w:val="2"/>
                <w:sz w:val="24"/>
                <w:szCs w:val="24"/>
                <w:lang w:bidi="ar"/>
              </w:rPr>
              <w:t>具有全国注册咨询工程师每提供1个得5分，最多得10分。</w:t>
            </w:r>
          </w:p>
          <w:p w14:paraId="0E4A08F2">
            <w:pPr>
              <w:pStyle w:val="10"/>
              <w:widowControl w:val="0"/>
              <w:tabs>
                <w:tab w:val="left" w:pos="0"/>
              </w:tabs>
              <w:topLinePunct/>
              <w:snapToGrid w:val="0"/>
              <w:spacing w:before="0" w:beforeAutospacing="0" w:after="0" w:afterAutospacing="0" w:line="320" w:lineRule="exact"/>
              <w:ind w:left="42" w:leftChars="20" w:firstLine="480"/>
              <w:rPr>
                <w:rFonts w:hint="eastAsia" w:cs="宋体"/>
                <w:sz w:val="24"/>
                <w:szCs w:val="24"/>
              </w:rPr>
            </w:pPr>
            <w:r>
              <w:rPr>
                <w:rFonts w:hint="eastAsia" w:cs="宋体"/>
                <w:kern w:val="2"/>
                <w:sz w:val="24"/>
                <w:szCs w:val="24"/>
                <w:lang w:bidi="ar"/>
              </w:rPr>
              <w:t>（项目负责人须全程参与该服务）。</w:t>
            </w:r>
          </w:p>
          <w:p w14:paraId="57B46F74">
            <w:pPr>
              <w:pStyle w:val="10"/>
              <w:widowControl w:val="0"/>
              <w:tabs>
                <w:tab w:val="left" w:pos="0"/>
              </w:tabs>
              <w:topLinePunct/>
              <w:snapToGrid w:val="0"/>
              <w:spacing w:before="0" w:beforeAutospacing="0" w:after="0" w:afterAutospacing="0" w:line="320" w:lineRule="exact"/>
              <w:ind w:left="42" w:leftChars="20" w:firstLine="482"/>
              <w:rPr>
                <w:rFonts w:hint="eastAsia" w:cs="宋体"/>
                <w:b/>
                <w:sz w:val="24"/>
                <w:szCs w:val="24"/>
              </w:rPr>
            </w:pPr>
            <w:r>
              <w:rPr>
                <w:rFonts w:hint="eastAsia" w:cs="宋体"/>
                <w:b/>
                <w:kern w:val="2"/>
                <w:sz w:val="24"/>
                <w:szCs w:val="24"/>
                <w:lang w:bidi="ar"/>
              </w:rPr>
              <w:t>注：1.以上人员不可重复得分。</w:t>
            </w:r>
          </w:p>
          <w:p w14:paraId="628B4638">
            <w:pPr>
              <w:pStyle w:val="22"/>
              <w:kinsoku w:val="0"/>
              <w:wordWrap w:val="0"/>
              <w:topLinePunct/>
              <w:spacing w:line="360" w:lineRule="exact"/>
              <w:ind w:firstLine="0" w:firstLineChars="0"/>
              <w:rPr>
                <w:rFonts w:hint="eastAsia" w:eastAsia="宋体" w:cs="宋体"/>
                <w:bCs/>
                <w:sz w:val="21"/>
                <w:szCs w:val="21"/>
              </w:rPr>
            </w:pPr>
            <w:r>
              <w:rPr>
                <w:rFonts w:hint="eastAsia" w:ascii="Arial" w:hAnsi="Arial" w:eastAsia="宋体" w:cs="宋体"/>
                <w:snapToGrid w:val="0"/>
                <w:color w:val="000000"/>
                <w:kern w:val="2"/>
                <w:sz w:val="24"/>
                <w:szCs w:val="24"/>
                <w:lang w:val="en-US" w:eastAsia="en-US" w:bidi="ar"/>
              </w:rPr>
              <w:t>2.提供人员证书复印件及在职证明</w:t>
            </w:r>
          </w:p>
        </w:tc>
        <w:tc>
          <w:tcPr>
            <w:tcW w:w="0" w:type="auto"/>
            <w:tcBorders>
              <w:left w:val="single" w:color="auto" w:sz="4" w:space="0"/>
              <w:right w:val="single" w:color="auto" w:sz="4" w:space="0"/>
            </w:tcBorders>
            <w:vAlign w:val="center"/>
          </w:tcPr>
          <w:p w14:paraId="1C16B0EE">
            <w:pPr>
              <w:pStyle w:val="19"/>
              <w:ind w:firstLine="0" w:firstLineChars="0"/>
              <w:jc w:val="both"/>
              <w:rPr>
                <w:rFonts w:hint="eastAsia" w:eastAsia="宋体" w:cs="宋体"/>
                <w:sz w:val="21"/>
                <w:szCs w:val="21"/>
              </w:rPr>
            </w:pPr>
          </w:p>
        </w:tc>
      </w:tr>
    </w:tbl>
    <w:p w14:paraId="17AE9FF2">
      <w:pPr>
        <w:pStyle w:val="15"/>
        <w:numPr>
          <w:ilvl w:val="0"/>
          <w:numId w:val="0"/>
        </w:numPr>
        <w:ind w:firstLine="643" w:firstLineChars="200"/>
        <w:jc w:val="both"/>
        <w:rPr>
          <w:rFonts w:hint="eastAsia" w:ascii="黑体" w:hAnsi="黑体" w:eastAsia="黑体" w:cs="黑体"/>
          <w:b/>
          <w:bCs/>
          <w:color w:val="000000"/>
          <w:kern w:val="0"/>
          <w:sz w:val="32"/>
          <w:szCs w:val="32"/>
          <w:vertAlign w:val="baseline"/>
          <w:lang w:val="en-US" w:eastAsia="zh-CN" w:bidi="ar-SA"/>
        </w:rPr>
      </w:pPr>
      <w:r>
        <w:rPr>
          <w:rFonts w:hint="eastAsia" w:ascii="黑体" w:hAnsi="黑体" w:eastAsia="黑体" w:cs="黑体"/>
          <w:b/>
          <w:bCs/>
          <w:color w:val="000000"/>
          <w:kern w:val="0"/>
          <w:sz w:val="32"/>
          <w:szCs w:val="32"/>
          <w:vertAlign w:val="baseline"/>
          <w:lang w:val="en-US" w:eastAsia="zh-CN" w:bidi="ar-SA"/>
        </w:rPr>
        <w:t>六、报价要求</w:t>
      </w:r>
    </w:p>
    <w:p w14:paraId="631D65F1">
      <w:pPr>
        <w:pStyle w:val="11"/>
        <w:numPr>
          <w:ilvl w:val="0"/>
          <w:numId w:val="0"/>
        </w:numPr>
        <w:ind w:firstLine="640" w:firstLineChars="200"/>
        <w:jc w:val="both"/>
        <w:rPr>
          <w:rFonts w:hint="eastAsia" w:ascii="仿宋_GB2312" w:hAnsi="仿宋_GB2312" w:eastAsia="仿宋_GB2312" w:cs="仿宋_GB2312"/>
          <w:bCs/>
          <w:snapToGrid w:val="0"/>
          <w:color w:val="000000"/>
          <w:kern w:val="0"/>
          <w:sz w:val="32"/>
          <w:szCs w:val="32"/>
          <w:lang w:val="en-US" w:eastAsia="zh-CN" w:bidi="ar-SA"/>
        </w:rPr>
      </w:pPr>
      <w:r>
        <w:rPr>
          <w:rFonts w:hint="eastAsia" w:ascii="仿宋_GB2312" w:hAnsi="仿宋_GB2312" w:eastAsia="仿宋_GB2312" w:cs="仿宋_GB2312"/>
          <w:bCs/>
          <w:snapToGrid w:val="0"/>
          <w:color w:val="000000"/>
          <w:kern w:val="0"/>
          <w:sz w:val="32"/>
          <w:szCs w:val="32"/>
          <w:lang w:val="en-US" w:eastAsia="zh-CN" w:bidi="ar-SA"/>
        </w:rPr>
        <w:t>本项目最高限价：3.15万元，报价应包含与该项目有关的人工、税费等一切费用。</w:t>
      </w:r>
    </w:p>
    <w:p w14:paraId="4400DD84">
      <w:pPr>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091171-ACD4-4613-AFDA-998C7B778029}"/>
  </w:font>
  <w:font w:name="黑体">
    <w:panose1 w:val="02010609060101010101"/>
    <w:charset w:val="86"/>
    <w:family w:val="auto"/>
    <w:pitch w:val="default"/>
    <w:sig w:usb0="800002BF" w:usb1="38CF7CFA" w:usb2="00000016" w:usb3="00000000" w:csb0="00040001" w:csb1="00000000"/>
    <w:embedRegular r:id="rId2" w:fontKey="{C43C5BDF-A4F1-4053-AAE9-67316A72EE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FD1540D3-B77A-418D-910E-B2AF59A3E7D2}"/>
  </w:font>
  <w:font w:name="Arial Unicode MS">
    <w:panose1 w:val="020B0604020202020204"/>
    <w:charset w:val="86"/>
    <w:family w:val="auto"/>
    <w:pitch w:val="default"/>
    <w:sig w:usb0="FFFFFFFF" w:usb1="E9FFFFFF" w:usb2="0000003F" w:usb3="00000000" w:csb0="603F01FF" w:csb1="FFFF0000"/>
    <w:embedRegular r:id="rId4" w:fontKey="{04665460-B8A2-4CA9-987F-5BC1F8C2C51D}"/>
  </w:font>
  <w:font w:name="仿宋_GB2312">
    <w:panose1 w:val="02010609030101010101"/>
    <w:charset w:val="86"/>
    <w:family w:val="auto"/>
    <w:pitch w:val="default"/>
    <w:sig w:usb0="00000001" w:usb1="080E0000" w:usb2="00000000" w:usb3="00000000" w:csb0="00040000" w:csb1="00000000"/>
    <w:embedRegular r:id="rId5" w:fontKey="{2E61031D-630B-4D24-908E-EE26AAC23CF7}"/>
  </w:font>
  <w:font w:name="楷体">
    <w:panose1 w:val="02010609060101010101"/>
    <w:charset w:val="86"/>
    <w:family w:val="auto"/>
    <w:pitch w:val="default"/>
    <w:sig w:usb0="800002BF" w:usb1="38CF7CFA" w:usb2="00000016" w:usb3="00000000" w:csb0="00040001" w:csb1="00000000"/>
    <w:embedRegular r:id="rId6" w:fontKey="{279B431F-DCE6-48DF-AE5A-9D11ABB599FA}"/>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24"/>
      <w:suff w:val="nothing"/>
      <w:lvlText w:val="%4."/>
      <w:lvlJc w:val="left"/>
      <w:pPr>
        <w:tabs>
          <w:tab w:val="left" w:pos="0"/>
        </w:tabs>
        <w:ind w:left="0" w:firstLine="0"/>
      </w:pPr>
      <w:rPr>
        <w:rFonts w:hint="eastAsia" w:ascii="宋体" w:hAnsi="宋体" w:eastAsia="宋体" w:cs="宋体"/>
      </w:rPr>
    </w:lvl>
    <w:lvl w:ilvl="4" w:tentative="0">
      <w:start w:val="1"/>
      <w:numFmt w:val="decimal"/>
      <w:pStyle w:val="25"/>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B"/>
    <w:multiLevelType w:val="multilevel"/>
    <w:tmpl w:val="0000000B"/>
    <w:lvl w:ilvl="0" w:tentative="0">
      <w:start w:val="1"/>
      <w:numFmt w:val="bullet"/>
      <w:pStyle w:val="18"/>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NDk4N2M1NTliNmJjMDJlZDljYjE3OGU5YzM1ZTkifQ=="/>
  </w:docVars>
  <w:rsids>
    <w:rsidRoot w:val="797A28EE"/>
    <w:rsid w:val="048D4113"/>
    <w:rsid w:val="0CE21123"/>
    <w:rsid w:val="0E542079"/>
    <w:rsid w:val="0EEA7E55"/>
    <w:rsid w:val="103439F5"/>
    <w:rsid w:val="17750CA3"/>
    <w:rsid w:val="1C2B7D21"/>
    <w:rsid w:val="1C3500A0"/>
    <w:rsid w:val="1D1135A6"/>
    <w:rsid w:val="1D5F2712"/>
    <w:rsid w:val="219365FF"/>
    <w:rsid w:val="24776234"/>
    <w:rsid w:val="26F33261"/>
    <w:rsid w:val="27F02ECD"/>
    <w:rsid w:val="29AA6040"/>
    <w:rsid w:val="2C463FDB"/>
    <w:rsid w:val="2EF67B70"/>
    <w:rsid w:val="3366477C"/>
    <w:rsid w:val="37EE7B0E"/>
    <w:rsid w:val="417664B6"/>
    <w:rsid w:val="41F145CF"/>
    <w:rsid w:val="4E552276"/>
    <w:rsid w:val="4E8C4B89"/>
    <w:rsid w:val="56595A9D"/>
    <w:rsid w:val="5B4767D1"/>
    <w:rsid w:val="64F5163D"/>
    <w:rsid w:val="677E7162"/>
    <w:rsid w:val="6B5A5E04"/>
    <w:rsid w:val="72FC1993"/>
    <w:rsid w:val="72FD3A58"/>
    <w:rsid w:val="797A28EE"/>
    <w:rsid w:val="7B7B75DA"/>
    <w:rsid w:val="7BDA6192"/>
    <w:rsid w:val="7FD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Body Text First Indent"/>
    <w:basedOn w:val="4"/>
    <w:unhideWhenUsed/>
    <w:qFormat/>
    <w:uiPriority w:val="99"/>
    <w:pPr>
      <w:ind w:firstLine="420" w:firstLineChars="100"/>
    </w:pPr>
  </w:style>
  <w:style w:type="paragraph" w:styleId="6">
    <w:name w:val="Body Text Indent"/>
    <w:basedOn w:val="1"/>
    <w:next w:val="7"/>
    <w:qFormat/>
    <w:uiPriority w:val="0"/>
    <w:pPr>
      <w:ind w:firstLine="538" w:firstLineChars="192"/>
      <w:jc w:val="left"/>
    </w:pPr>
  </w:style>
  <w:style w:type="paragraph" w:styleId="7">
    <w:name w:val="envelope return"/>
    <w:basedOn w:val="1"/>
    <w:unhideWhenUsed/>
    <w:qFormat/>
    <w:uiPriority w:val="99"/>
    <w:pPr>
      <w:tabs>
        <w:tab w:val="left" w:pos="0"/>
      </w:tabs>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adjustRightInd/>
      <w:snapToGrid/>
      <w:spacing w:before="100" w:beforeAutospacing="1" w:after="100" w:afterAutospacing="1" w:line="240" w:lineRule="auto"/>
      <w:ind w:firstLine="0" w:firstLineChars="0"/>
    </w:pPr>
    <w:rPr>
      <w:rFonts w:eastAsia="宋体"/>
      <w:kern w:val="0"/>
      <w:sz w:val="18"/>
      <w:szCs w:val="18"/>
    </w:rPr>
  </w:style>
  <w:style w:type="paragraph" w:styleId="11">
    <w:name w:val="Body Text First Indent 2"/>
    <w:basedOn w:val="6"/>
    <w:qFormat/>
    <w:uiPriority w:val="0"/>
    <w:pPr>
      <w:spacing w:after="120"/>
      <w:ind w:left="420" w:leftChars="200" w:firstLine="420" w:firstLineChars="200"/>
    </w:pPr>
    <w:rPr>
      <w:rFonts w:ascii="Calibri" w:hAnsi="Calibri" w:eastAsia="宋体" w:cs="Times New Roman"/>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7">
    <w:name w:val="U_正文2"/>
    <w:basedOn w:val="1"/>
    <w:qFormat/>
    <w:uiPriority w:val="0"/>
    <w:pPr>
      <w:spacing w:before="31" w:beforeLines="10" w:after="31" w:afterLines="10" w:line="300" w:lineRule="auto"/>
    </w:pPr>
    <w:rPr>
      <w:kern w:val="2"/>
      <w:sz w:val="24"/>
    </w:rPr>
  </w:style>
  <w:style w:type="paragraph" w:customStyle="1" w:styleId="18">
    <w:name w:val="U_编号2"/>
    <w:basedOn w:val="1"/>
    <w:qFormat/>
    <w:uiPriority w:val="0"/>
    <w:pPr>
      <w:numPr>
        <w:ilvl w:val="0"/>
        <w:numId w:val="1"/>
      </w:numPr>
      <w:spacing w:before="31" w:beforeLines="10" w:after="31" w:afterLines="10" w:line="300" w:lineRule="auto"/>
    </w:pPr>
    <w:rPr>
      <w:sz w:val="24"/>
      <w:szCs w:val="20"/>
    </w:rPr>
  </w:style>
  <w:style w:type="paragraph" w:customStyle="1" w:styleId="19">
    <w:name w:val="13、表格内居中正文"/>
    <w:basedOn w:val="1"/>
    <w:qFormat/>
    <w:uiPriority w:val="0"/>
    <w:pPr>
      <w:tabs>
        <w:tab w:val="left" w:pos="0"/>
      </w:tabs>
      <w:wordWrap w:val="0"/>
      <w:topLinePunct/>
      <w:spacing w:line="360" w:lineRule="exact"/>
      <w:jc w:val="center"/>
    </w:pPr>
  </w:style>
  <w:style w:type="paragraph" w:customStyle="1" w:styleId="20">
    <w:name w:val="12、表格内左对齐正文"/>
    <w:basedOn w:val="1"/>
    <w:qFormat/>
    <w:uiPriority w:val="0"/>
    <w:pPr>
      <w:tabs>
        <w:tab w:val="left" w:pos="0"/>
      </w:tabs>
      <w:wordWrap w:val="0"/>
      <w:topLinePunct/>
      <w:spacing w:line="360" w:lineRule="exact"/>
      <w:ind w:left="48" w:leftChars="20" w:firstLine="0" w:firstLineChars="0"/>
    </w:pPr>
    <w:rPr>
      <w:snapToGrid w:val="0"/>
      <w:kern w:val="0"/>
      <w:sz w:val="21"/>
      <w:szCs w:val="20"/>
    </w:rPr>
  </w:style>
  <w:style w:type="paragraph" w:customStyle="1" w:styleId="21">
    <w:name w:val="Table Paragraph"/>
    <w:basedOn w:val="1"/>
    <w:qFormat/>
    <w:uiPriority w:val="0"/>
    <w:pPr>
      <w:tabs>
        <w:tab w:val="left" w:pos="0"/>
      </w:tabs>
    </w:pPr>
    <w:rPr>
      <w:rFonts w:cs="宋体"/>
      <w:lang w:val="zh-CN" w:bidi="zh-CN"/>
    </w:rPr>
  </w:style>
  <w:style w:type="paragraph" w:customStyle="1" w:styleId="22">
    <w:name w:val="_Style 2"/>
    <w:basedOn w:val="1"/>
    <w:qFormat/>
    <w:uiPriority w:val="0"/>
    <w:pPr>
      <w:tabs>
        <w:tab w:val="left" w:pos="0"/>
      </w:tabs>
      <w:spacing w:line="440" w:lineRule="exact"/>
      <w:ind w:firstLine="420"/>
    </w:pPr>
    <w:rPr>
      <w:rFonts w:cstheme="minorBidi"/>
      <w:sz w:val="18"/>
      <w:szCs w:val="18"/>
    </w:rPr>
  </w:style>
  <w:style w:type="paragraph" w:customStyle="1" w:styleId="23">
    <w:name w:val="02、首行缩进2字符正文"/>
    <w:basedOn w:val="1"/>
    <w:autoRedefine/>
    <w:qFormat/>
    <w:uiPriority w:val="0"/>
    <w:pPr>
      <w:tabs>
        <w:tab w:val="left" w:pos="0"/>
      </w:tabs>
      <w:wordWrap w:val="0"/>
      <w:topLinePunct/>
      <w:ind w:firstLine="480" w:firstLineChars="200"/>
    </w:pPr>
  </w:style>
  <w:style w:type="paragraph" w:customStyle="1" w:styleId="24">
    <w:name w:val="17“1.”四级标题"/>
    <w:basedOn w:val="23"/>
    <w:autoRedefine/>
    <w:qFormat/>
    <w:uiPriority w:val="0"/>
    <w:pPr>
      <w:numPr>
        <w:ilvl w:val="3"/>
        <w:numId w:val="2"/>
      </w:numPr>
      <w:ind w:firstLine="803"/>
    </w:pPr>
  </w:style>
  <w:style w:type="paragraph" w:customStyle="1" w:styleId="25">
    <w:name w:val="18、“1.1”五级标题"/>
    <w:basedOn w:val="24"/>
    <w:autoRedefine/>
    <w:qFormat/>
    <w:uiPriority w:val="0"/>
    <w:pPr>
      <w:numPr>
        <w:ilvl w:val="4"/>
      </w:numPr>
      <w:ind w:firstLine="803"/>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1085</Words>
  <Characters>1137</Characters>
  <Lines>0</Lines>
  <Paragraphs>0</Paragraphs>
  <TotalTime>7</TotalTime>
  <ScaleCrop>false</ScaleCrop>
  <LinksUpToDate>false</LinksUpToDate>
  <CharactersWithSpaces>1144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2025-03-03T02:20:00Z</dcterms:created>
  <dc:creator>詹功强</dc:creator>
  <cp:lastModifiedBy>余艳</cp:lastModifiedBy>
  <cp:lastPrinted>2026-01-05T09:25:00Z</cp:lastPrinted>
  <dcterms:modified xsi:type="dcterms:W3CDTF">2026-01-06T03:04:59Z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13F5E52B93C3417186CB94CB707D1A5D_11</vt:lpwstr>
  </property>
  <property fmtid="{D5CDD505-2E9C-101B-9397-08002B2CF9AE}" pid="4" name="KSOTemplateDocerSaveRecord">
    <vt:lpwstr>eyJoZGlkIjoiNDNhM2RhNmJjYTdlNWY0OTNjOTVlNzNhYWU2NTJkYTYiLCJ1c2VySWQiOiIxNjUxNDQ0MDA0In0=</vt:lpwstr>
  </property>
</Properties>
</file>