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：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18" w:right="1134" w:bottom="1134" w:left="1418" w:header="851" w:footer="680" w:gutter="0"/>
          <w:pgNumType w:fmt="numberInDash"/>
          <w:cols w:space="720" w:num="1"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8071"/>
      <w:bookmarkStart w:id="2" w:name="_Toc254615408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5CE0E51C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53D455E5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 w:val="0"/>
          <w:bCs w:val="0"/>
          <w:kern w:val="44"/>
          <w:sz w:val="32"/>
          <w:szCs w:val="32"/>
          <w:lang w:val="en-US" w:eastAsia="zh-CN" w:bidi="ar-SA"/>
        </w:rPr>
        <w:t>（表格可根据报价情况自行增减）</w:t>
      </w: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  <w:bookmarkStart w:id="10" w:name="_GoBack"/>
      <w:bookmarkEnd w:id="10"/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170621362"/>
      <w:bookmarkStart w:id="4" w:name="_Toc170621230"/>
      <w:bookmarkStart w:id="5" w:name="_Toc157235928"/>
      <w:bookmarkStart w:id="6" w:name="_Toc319145236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254615416"/>
      <w:bookmarkStart w:id="9" w:name="_Toc500403162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29D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48BE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48BE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FBAE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D4FA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D4FA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1C6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FAC078C"/>
    <w:rsid w:val="3F1227FB"/>
    <w:rsid w:val="45256AA7"/>
    <w:rsid w:val="5670202A"/>
    <w:rsid w:val="5ABC241E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896</Words>
  <Characters>937</Characters>
  <Lines>0</Lines>
  <Paragraphs>0</Paragraphs>
  <TotalTime>19</TotalTime>
  <ScaleCrop>false</ScaleCrop>
  <LinksUpToDate>false</LinksUpToDate>
  <CharactersWithSpaces>1208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胡罡</cp:lastModifiedBy>
  <cp:lastPrinted>2025-07-23T00:36:00Z</cp:lastPrinted>
  <dcterms:modified xsi:type="dcterms:W3CDTF">2026-03-12T06:59:18Z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eyJoZGlkIjoiZDI1OWUxYWU0MTk2MGRjYjE3NmNhMTA2MWUxOTQ0Y2MiLCJ1c2VySWQiOiIxNjUyOTI3MDc3In0=</vt:lpwstr>
  </property>
</Properties>
</file>