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DFC6F">
      <w:pPr>
        <w:rPr>
          <w:rFonts w:hint="eastAsia" w:ascii="黑体" w:hAnsi="黑体" w:eastAsia="黑体" w:cs="黑体"/>
          <w:i w:val="0"/>
          <w:iCs w:val="0"/>
          <w:caps w:val="0"/>
          <w:color w:val="000000"/>
          <w:spacing w:val="0"/>
          <w:sz w:val="44"/>
          <w:szCs w:val="44"/>
          <w:shd w:val="clear" w:fill="FFFFFF"/>
          <w:vertAlign w:val="baseline"/>
          <w:lang w:val="en-US" w:eastAsia="zh-CN"/>
        </w:rPr>
      </w:pPr>
      <w:r>
        <w:rPr>
          <w:rFonts w:hint="eastAsia" w:ascii="方正仿宋_GB2312" w:hAnsi="方正仿宋_GB2312" w:eastAsia="方正仿宋_GB2312" w:cs="方正仿宋_GB2312"/>
          <w:sz w:val="32"/>
          <w:szCs w:val="32"/>
          <w:lang w:val="en-US" w:eastAsia="zh-CN"/>
        </w:rPr>
        <w:t>附件1：</w:t>
      </w:r>
    </w:p>
    <w:p w14:paraId="3694B581">
      <w:pPr>
        <w:jc w:val="center"/>
        <w:rPr>
          <w:rFonts w:hint="eastAsia" w:ascii="Arial Unicode MS" w:hAnsi="Arial Unicode MS" w:eastAsia="Arial Unicode MS" w:cs="Arial Unicode MS"/>
          <w:color w:val="000000"/>
          <w:kern w:val="0"/>
          <w:sz w:val="44"/>
          <w:szCs w:val="44"/>
          <w:vertAlign w:val="baseline"/>
          <w:lang w:val="en-US" w:eastAsia="zh-CN" w:bidi="ar-SA"/>
        </w:rPr>
      </w:pPr>
      <w:r>
        <w:rPr>
          <w:rFonts w:hint="eastAsia" w:ascii="Arial Unicode MS" w:hAnsi="Arial Unicode MS" w:eastAsia="Arial Unicode MS" w:cs="Arial Unicode MS"/>
          <w:sz w:val="44"/>
          <w:szCs w:val="44"/>
          <w:lang w:val="en-US" w:eastAsia="zh-CN"/>
        </w:rPr>
        <w:t>采 购 要 求</w:t>
      </w:r>
    </w:p>
    <w:p w14:paraId="03F0BEDE">
      <w:pPr>
        <w:pStyle w:val="13"/>
        <w:numPr>
          <w:ilvl w:val="0"/>
          <w:numId w:val="0"/>
        </w:numPr>
        <w:ind w:firstLine="562" w:firstLineChars="200"/>
        <w:jc w:val="both"/>
        <w:rPr>
          <w:rFonts w:hint="eastAsia" w:ascii="方正仿宋_GB2312" w:hAnsi="方正仿宋_GB2312" w:eastAsia="方正仿宋_GB2312" w:cs="方正仿宋_GB2312"/>
          <w:b/>
          <w:bCs/>
          <w:color w:val="000000"/>
          <w:kern w:val="0"/>
          <w:sz w:val="28"/>
          <w:szCs w:val="28"/>
          <w:vertAlign w:val="baseline"/>
          <w:lang w:val="en-US" w:eastAsia="zh-CN" w:bidi="ar-SA"/>
        </w:rPr>
      </w:pPr>
    </w:p>
    <w:p w14:paraId="6DD60D17">
      <w:pPr>
        <w:pStyle w:val="13"/>
        <w:numPr>
          <w:ilvl w:val="0"/>
          <w:numId w:val="0"/>
        </w:numPr>
        <w:ind w:firstLine="643" w:firstLineChars="200"/>
        <w:jc w:val="both"/>
        <w:rPr>
          <w:rFonts w:hint="eastAsia"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一、供应商资质</w:t>
      </w:r>
    </w:p>
    <w:p w14:paraId="4B846CD8">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1.具有独立承担民事责任的能力（提供承诺函）；</w:t>
      </w:r>
    </w:p>
    <w:p w14:paraId="68ADDD08">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2.具有良好的商业信誉和健全的财务会计制度（提供承诺函）；</w:t>
      </w:r>
    </w:p>
    <w:p w14:paraId="55F2E884">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3.具有履行合同所必需的设备和专业技术能力（提供营业执照）；</w:t>
      </w:r>
    </w:p>
    <w:p w14:paraId="433162C5">
      <w:pPr>
        <w:keepNext w:val="0"/>
        <w:keepLines w:val="0"/>
        <w:pageBreakBefore w:val="0"/>
        <w:widowControl/>
        <w:numPr>
          <w:ilvl w:val="0"/>
          <w:numId w:val="0"/>
        </w:numPr>
        <w:kinsoku/>
        <w:wordWrap/>
        <w:overflowPunct/>
        <w:topLinePunct w:val="0"/>
        <w:autoSpaceDE/>
        <w:autoSpaceDN/>
        <w:bidi w:val="0"/>
        <w:snapToGrid/>
        <w:spacing w:after="0" w:afterLines="0" w:line="360" w:lineRule="auto"/>
        <w:ind w:right="-1" w:rightChars="0" w:firstLine="440" w:firstLineChars="200"/>
        <w:jc w:val="left"/>
        <w:rPr>
          <w:rFonts w:hint="eastAsia"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4.参加本次比选活动前三年内，在经营活动中没有重大违法记录（提供承诺函）；</w:t>
      </w:r>
    </w:p>
    <w:p w14:paraId="087512AB">
      <w:pPr>
        <w:pStyle w:val="13"/>
        <w:ind w:firstLine="440" w:firstLineChars="200"/>
        <w:rPr>
          <w:rFonts w:hint="default" w:ascii="Arial" w:hAnsi="Arial" w:eastAsia="等线" w:cs="Arial"/>
          <w:snapToGrid/>
          <w:color w:val="auto"/>
          <w:kern w:val="0"/>
          <w:sz w:val="22"/>
          <w:szCs w:val="22"/>
          <w:lang w:val="en-US" w:eastAsia="zh-CN" w:bidi="ar-SA"/>
        </w:rPr>
      </w:pPr>
      <w:r>
        <w:rPr>
          <w:rFonts w:hint="eastAsia" w:ascii="Arial" w:hAnsi="Arial" w:eastAsia="等线" w:cs="Arial"/>
          <w:snapToGrid/>
          <w:color w:val="auto"/>
          <w:kern w:val="0"/>
          <w:sz w:val="22"/>
          <w:szCs w:val="22"/>
          <w:lang w:val="en-US" w:eastAsia="zh-CN" w:bidi="ar-SA"/>
        </w:rPr>
        <w:t>5.本项目不接受联合体参与比选。</w:t>
      </w:r>
    </w:p>
    <w:p w14:paraId="183613E9">
      <w:pPr>
        <w:pStyle w:val="9"/>
        <w:ind w:left="0" w:leftChars="0" w:firstLine="0" w:firstLineChars="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 xml:space="preserve">  </w:t>
      </w:r>
      <w:r>
        <w:rPr>
          <w:rFonts w:hint="eastAsia" w:ascii="仿宋_GB2312" w:hAnsi="仿宋_GB2312" w:eastAsia="仿宋_GB2312" w:cs="仿宋_GB2312"/>
          <w:b/>
          <w:bCs w:val="0"/>
          <w:sz w:val="28"/>
          <w:szCs w:val="28"/>
          <w:lang w:val="en-US" w:eastAsia="zh-CN"/>
        </w:rPr>
        <w:t xml:space="preserve"> 注：上述资料均加盖公司鲜章。</w:t>
      </w:r>
    </w:p>
    <w:p w14:paraId="017890F1">
      <w:pPr>
        <w:pStyle w:val="13"/>
        <w:numPr>
          <w:ilvl w:val="0"/>
          <w:numId w:val="0"/>
        </w:numPr>
        <w:ind w:firstLine="643" w:firstLineChars="200"/>
        <w:jc w:val="both"/>
        <w:rPr>
          <w:rFonts w:hint="eastAsia"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二、需求及技术要求</w:t>
      </w:r>
    </w:p>
    <w:tbl>
      <w:tblPr>
        <w:tblStyle w:val="11"/>
        <w:tblW w:w="48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746"/>
        <w:gridCol w:w="5328"/>
        <w:gridCol w:w="885"/>
        <w:gridCol w:w="885"/>
      </w:tblGrid>
      <w:tr w14:paraId="3CB4D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21B5A961">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序号</w:t>
            </w:r>
          </w:p>
        </w:tc>
        <w:tc>
          <w:tcPr>
            <w:tcW w:w="451" w:type="pct"/>
            <w:vAlign w:val="center"/>
          </w:tcPr>
          <w:p w14:paraId="7B6B9B2A">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名称</w:t>
            </w:r>
          </w:p>
        </w:tc>
        <w:tc>
          <w:tcPr>
            <w:tcW w:w="3216" w:type="pct"/>
            <w:vAlign w:val="center"/>
          </w:tcPr>
          <w:p w14:paraId="2B549C0C">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参数要求</w:t>
            </w:r>
          </w:p>
        </w:tc>
        <w:tc>
          <w:tcPr>
            <w:tcW w:w="534" w:type="pct"/>
            <w:vAlign w:val="center"/>
          </w:tcPr>
          <w:p w14:paraId="38248B34">
            <w:pPr>
              <w:pStyle w:val="13"/>
              <w:numPr>
                <w:ilvl w:val="0"/>
                <w:numId w:val="0"/>
              </w:numPr>
              <w:jc w:val="center"/>
              <w:rPr>
                <w:rFonts w:hint="eastAsia"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单位</w:t>
            </w:r>
          </w:p>
        </w:tc>
        <w:tc>
          <w:tcPr>
            <w:tcW w:w="534" w:type="pct"/>
            <w:vAlign w:val="center"/>
          </w:tcPr>
          <w:p w14:paraId="3283CA79">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数量</w:t>
            </w:r>
          </w:p>
        </w:tc>
      </w:tr>
      <w:tr w14:paraId="02A86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780483A4">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1</w:t>
            </w:r>
          </w:p>
        </w:tc>
        <w:tc>
          <w:tcPr>
            <w:tcW w:w="451" w:type="pct"/>
            <w:vAlign w:val="center"/>
          </w:tcPr>
          <w:p w14:paraId="15D3D388">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混合主机</w:t>
            </w:r>
          </w:p>
        </w:tc>
        <w:tc>
          <w:tcPr>
            <w:tcW w:w="3216" w:type="pct"/>
            <w:shd w:val="clear"/>
            <w:vAlign w:val="center"/>
          </w:tcPr>
          <w:p w14:paraId="0D3A3434">
            <w:pPr>
              <w:keepNext w:val="0"/>
              <w:keepLines w:val="0"/>
              <w:widowControl/>
              <w:suppressLineNumbers w:val="0"/>
              <w:jc w:val="both"/>
              <w:textAlignment w:val="center"/>
              <w:rPr>
                <w:rFonts w:hint="default"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工作温度：-10℃~+55℃/工作湿度：10%-90%/尺寸(宽×高×深)：370（H）*320（W）*86（D）/重量：&lt;3.5kg/安装方式：壁挂/设备接入/遥控器：32/键盘：32/电气性能/功耗：≤40W/电源：AC220V/软件功能/防区：8路（可扩展至48路，扩展的40路防区可以为无线防区）/子系统：8/防拆：支持本地8个基础防区和无线防区探测器防拆报警/短信报警：配合CMK-4G/4G模块支持/电话报警：配合CMK-4G模块系列支持/电器配置：配合CMK-4G模块系列支持4个电话号码/SMS配置方式：键盘编程和4200配置/协议：海康SDK、NAL2300/C 卡：32/用户：网络用户32个，包括管理员、操作员、安装员，制造商/硬件接口/报警输入：8路（可扩展至48路，扩展的40路防区可以为无线防区）/继电器输出：4路（可扩展至48路）/警号输出：1路/网络接口：1/电源接口：1/串口：1/通讯接口：1/打印机接口：1/电话线接口：1/无线通讯/有线连接：支持/移动网络：可扩展</w:t>
            </w:r>
          </w:p>
        </w:tc>
        <w:tc>
          <w:tcPr>
            <w:tcW w:w="534" w:type="pct"/>
            <w:vAlign w:val="center"/>
          </w:tcPr>
          <w:p w14:paraId="7E3053AE">
            <w:pPr>
              <w:pStyle w:val="13"/>
              <w:numPr>
                <w:ilvl w:val="0"/>
                <w:numId w:val="0"/>
              </w:numPr>
              <w:jc w:val="center"/>
              <w:rPr>
                <w:rFonts w:hint="eastAsia"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台</w:t>
            </w:r>
          </w:p>
        </w:tc>
        <w:tc>
          <w:tcPr>
            <w:tcW w:w="534" w:type="pct"/>
            <w:vAlign w:val="center"/>
          </w:tcPr>
          <w:p w14:paraId="11AF36FA">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1</w:t>
            </w:r>
          </w:p>
        </w:tc>
      </w:tr>
      <w:tr w14:paraId="11911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32FC76E9">
            <w:pPr>
              <w:pStyle w:val="13"/>
              <w:numPr>
                <w:ilvl w:val="0"/>
                <w:numId w:val="0"/>
              </w:numPr>
              <w:jc w:val="center"/>
              <w:rPr>
                <w:rFonts w:hint="default"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2</w:t>
            </w:r>
          </w:p>
        </w:tc>
        <w:tc>
          <w:tcPr>
            <w:tcW w:w="451" w:type="pct"/>
            <w:vAlign w:val="center"/>
          </w:tcPr>
          <w:p w14:paraId="122D14FC">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有线键盘</w:t>
            </w:r>
          </w:p>
        </w:tc>
        <w:tc>
          <w:tcPr>
            <w:tcW w:w="3216" w:type="pct"/>
          </w:tcPr>
          <w:p w14:paraId="3F9A0C04">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支持80x25mm大屏显示</w:t>
            </w:r>
          </w:p>
          <w:p w14:paraId="7E22203E">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支持LED显示系统实时状态</w:t>
            </w:r>
          </w:p>
          <w:p w14:paraId="45F46134">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支持LCD显示自定义防区名称</w:t>
            </w:r>
          </w:p>
          <w:p w14:paraId="77C090C8">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支持上下翻页查看事件信息</w:t>
            </w:r>
          </w:p>
          <w:p w14:paraId="018B8E3D">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支持背壳双面防拆</w:t>
            </w:r>
          </w:p>
          <w:p w14:paraId="333BE0C9">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支持刷卡布撤防，但刷卡不支持消警功能，卡片数量由主机限制，目前网络主机最大可添加32张卡片（DS-PK-LRT*支持）</w:t>
            </w:r>
          </w:p>
          <w:p w14:paraId="70E8126E">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支持连接遥控器进行远程布撤防，键盘最多所能支持的无线遥控器数量由主机决定，最多支持32个遥控器（DS-PK-LR*支持）</w:t>
            </w:r>
          </w:p>
          <w:p w14:paraId="5585EBFF">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支持双向遥控器，遥控器LED显示操作结果（DS-PK-LR*支持）</w:t>
            </w:r>
          </w:p>
          <w:p w14:paraId="34A28F4A">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通过单击键盘可实现对主机布防，撤防必须密码撤防。</w:t>
            </w:r>
          </w:p>
          <w:p w14:paraId="4A6E1A67">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可针对单防区进行布撤防。</w:t>
            </w:r>
          </w:p>
          <w:p w14:paraId="73C8DB68">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通过操作命令，在键盘上可显示GPRS信号强度</w:t>
            </w:r>
          </w:p>
        </w:tc>
        <w:tc>
          <w:tcPr>
            <w:tcW w:w="534" w:type="pct"/>
            <w:vAlign w:val="center"/>
          </w:tcPr>
          <w:p w14:paraId="118189AF">
            <w:pPr>
              <w:pStyle w:val="13"/>
              <w:numPr>
                <w:ilvl w:val="0"/>
                <w:numId w:val="0"/>
              </w:numPr>
              <w:jc w:val="center"/>
              <w:rPr>
                <w:rFonts w:hint="eastAsia"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个</w:t>
            </w:r>
          </w:p>
        </w:tc>
        <w:tc>
          <w:tcPr>
            <w:tcW w:w="534" w:type="pct"/>
            <w:vAlign w:val="center"/>
          </w:tcPr>
          <w:p w14:paraId="1FC73793">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1</w:t>
            </w:r>
          </w:p>
        </w:tc>
      </w:tr>
      <w:tr w14:paraId="6FC92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14CEAF42">
            <w:pPr>
              <w:pStyle w:val="13"/>
              <w:numPr>
                <w:ilvl w:val="0"/>
                <w:numId w:val="0"/>
              </w:numPr>
              <w:jc w:val="center"/>
              <w:rPr>
                <w:rFonts w:hint="default"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3</w:t>
            </w:r>
          </w:p>
        </w:tc>
        <w:tc>
          <w:tcPr>
            <w:tcW w:w="451" w:type="pct"/>
            <w:vAlign w:val="center"/>
          </w:tcPr>
          <w:p w14:paraId="057D5011">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有线86盒紧急按钮</w:t>
            </w:r>
          </w:p>
        </w:tc>
        <w:tc>
          <w:tcPr>
            <w:tcW w:w="3216" w:type="pct"/>
          </w:tcPr>
          <w:p w14:paraId="624A2CF9">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报警输出：常闭常开</w:t>
            </w:r>
          </w:p>
          <w:p w14:paraId="5A8A3A76">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一般规范</w:t>
            </w:r>
          </w:p>
          <w:p w14:paraId="2467B123">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工作温度：-10 ℃ ~ 55 ℃</w:t>
            </w:r>
          </w:p>
          <w:p w14:paraId="61C3B67C">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储存温度：-20 ℃ ~ 60 ℃</w:t>
            </w:r>
          </w:p>
          <w:p w14:paraId="7B3FE494">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工作湿度：10% - 90%</w:t>
            </w:r>
          </w:p>
          <w:p w14:paraId="5CC7DA02">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尺寸(宽×高×深)：86mm * 86mm * 22mm</w:t>
            </w:r>
          </w:p>
          <w:p w14:paraId="2E6A2A4C">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重量：60g</w:t>
            </w:r>
          </w:p>
          <w:p w14:paraId="59FAA762">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使用场景：室内</w:t>
            </w:r>
          </w:p>
          <w:p w14:paraId="6E01401C">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电气性能</w:t>
            </w:r>
          </w:p>
          <w:p w14:paraId="73A337A3">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标称电压：≤125 V AC</w:t>
            </w:r>
          </w:p>
          <w:p w14:paraId="7AD3F354">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显示电流：≤2A</w:t>
            </w:r>
          </w:p>
        </w:tc>
        <w:tc>
          <w:tcPr>
            <w:tcW w:w="534" w:type="pct"/>
            <w:vAlign w:val="center"/>
          </w:tcPr>
          <w:p w14:paraId="50161AE0">
            <w:pPr>
              <w:pStyle w:val="13"/>
              <w:numPr>
                <w:ilvl w:val="0"/>
                <w:numId w:val="0"/>
              </w:numPr>
              <w:jc w:val="center"/>
              <w:rPr>
                <w:rFonts w:hint="eastAsia"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个</w:t>
            </w:r>
          </w:p>
        </w:tc>
        <w:tc>
          <w:tcPr>
            <w:tcW w:w="534" w:type="pct"/>
            <w:vAlign w:val="center"/>
          </w:tcPr>
          <w:p w14:paraId="64998F4D">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38</w:t>
            </w:r>
          </w:p>
        </w:tc>
      </w:tr>
      <w:tr w14:paraId="10CC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63455EF5">
            <w:pPr>
              <w:pStyle w:val="13"/>
              <w:numPr>
                <w:ilvl w:val="0"/>
                <w:numId w:val="0"/>
              </w:numPr>
              <w:jc w:val="center"/>
              <w:rPr>
                <w:rFonts w:hint="default"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4</w:t>
            </w:r>
          </w:p>
        </w:tc>
        <w:tc>
          <w:tcPr>
            <w:tcW w:w="451" w:type="pct"/>
            <w:vAlign w:val="center"/>
          </w:tcPr>
          <w:p w14:paraId="0F1197F6">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防区模块（网络款）</w:t>
            </w:r>
          </w:p>
        </w:tc>
        <w:tc>
          <w:tcPr>
            <w:tcW w:w="3216" w:type="pct"/>
          </w:tcPr>
          <w:p w14:paraId="6937DEF5">
            <w:pPr>
              <w:pStyle w:val="13"/>
              <w:numPr>
                <w:ilvl w:val="0"/>
                <w:numId w:val="0"/>
              </w:numPr>
              <w:jc w:val="both"/>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显示方式指示灯：/3个指示灯：L1红灯：主机通讯，L2橙灯：防区状态，L3绿灯：网络状态/常规参数/外壳材质：/塑料/尺寸(宽×高×深)：/44.5*106.2*22.8mm/重量：/55g/设备接入/报警输入：/2路电气性能电源：/12V DC,550mA/功耗：/0.8W MAX/工作温度：/-10℃ ~ 55℃/工作湿度：/10%-90%/软件功能/应用：支持给网络IP工作混合报警主机系列/扩展防区输入/硬件接口/网络接口：/1个100M以太网口/功能按键：/支持硬件恢复出厂设置/：/不支持/产品执行标准(具体版本号以标签为准)：/Q/BFW 019/</w:t>
            </w:r>
          </w:p>
        </w:tc>
        <w:tc>
          <w:tcPr>
            <w:tcW w:w="534" w:type="pct"/>
            <w:vAlign w:val="center"/>
          </w:tcPr>
          <w:p w14:paraId="26E1AE0B">
            <w:pPr>
              <w:pStyle w:val="13"/>
              <w:numPr>
                <w:ilvl w:val="0"/>
                <w:numId w:val="0"/>
              </w:numPr>
              <w:jc w:val="center"/>
              <w:rPr>
                <w:rFonts w:hint="eastAsia"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个</w:t>
            </w:r>
          </w:p>
        </w:tc>
        <w:tc>
          <w:tcPr>
            <w:tcW w:w="534" w:type="pct"/>
            <w:vAlign w:val="center"/>
          </w:tcPr>
          <w:p w14:paraId="72AA1596">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38</w:t>
            </w:r>
          </w:p>
        </w:tc>
      </w:tr>
      <w:tr w14:paraId="7BF6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2122CADD">
            <w:pPr>
              <w:pStyle w:val="13"/>
              <w:numPr>
                <w:ilvl w:val="0"/>
                <w:numId w:val="0"/>
              </w:numPr>
              <w:jc w:val="center"/>
              <w:rPr>
                <w:rFonts w:hint="default"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5</w:t>
            </w:r>
          </w:p>
        </w:tc>
        <w:tc>
          <w:tcPr>
            <w:tcW w:w="451" w:type="pct"/>
            <w:vAlign w:val="center"/>
          </w:tcPr>
          <w:p w14:paraId="6BFEB16A">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default" w:ascii="Arial" w:hAnsi="Arial" w:eastAsia="等线" w:cs="Arial"/>
                <w:snapToGrid/>
                <w:color w:val="auto"/>
                <w:kern w:val="0"/>
                <w:sz w:val="22"/>
                <w:szCs w:val="22"/>
                <w:vertAlign w:val="baseline"/>
                <w:lang w:val="en-US" w:eastAsia="zh-CN" w:bidi="ar-SA"/>
              </w:rPr>
              <w:t>声光语音警号</w:t>
            </w:r>
          </w:p>
        </w:tc>
        <w:tc>
          <w:tcPr>
            <w:tcW w:w="3216" w:type="pct"/>
            <w:shd w:val="clear" w:color="auto" w:fill="auto"/>
            <w:vAlign w:val="center"/>
          </w:tcPr>
          <w:p w14:paraId="27D8CAF5">
            <w:pPr>
              <w:keepNext w:val="0"/>
              <w:keepLines w:val="0"/>
              <w:widowControl/>
              <w:suppressLineNumbers w:val="0"/>
              <w:jc w:val="left"/>
              <w:textAlignment w:val="center"/>
              <w:rPr>
                <w:rFonts w:hint="default" w:ascii="等线" w:hAnsi="等线" w:eastAsia="等线" w:cs="等线"/>
                <w:i w:val="0"/>
                <w:iCs w:val="0"/>
                <w:snapToGrid w:val="0"/>
                <w:color w:val="000000"/>
                <w:kern w:val="0"/>
                <w:sz w:val="24"/>
                <w:szCs w:val="24"/>
                <w:u w:val="none"/>
                <w:lang w:val="en-US" w:eastAsia="zh-CN" w:bidi="ar-SA"/>
              </w:rPr>
            </w:pPr>
            <w:r>
              <w:rPr>
                <w:rFonts w:hint="default" w:ascii="等线" w:hAnsi="等线" w:eastAsia="等线" w:cs="等线"/>
                <w:i w:val="0"/>
                <w:iCs w:val="0"/>
                <w:snapToGrid w:val="0"/>
                <w:color w:val="000000"/>
                <w:kern w:val="0"/>
                <w:sz w:val="24"/>
                <w:szCs w:val="24"/>
                <w:u w:val="none"/>
                <w:lang w:val="en-US" w:eastAsia="zh-CN" w:bidi="ar"/>
              </w:rPr>
              <w:t>常规参数/IP等级：/IP54/尺寸(宽×高×深)：/159*145*32.5mm/使用场景：/声光语音警号，支持自定义文字播报/外壳材质：/PC+ABS/颜色：/红白/重量：/233g/装箱清单：/整机 x1 说明书 x1 螺丝包 x1 气泡袋 x1/音频参数/报警音量：/警铃声：105dB Max 播报音：95dB Max/设备接入/报警输入：/支持RS485/网络/IO三种方式输入报警消息/警灯输出：/支持/警号输出：/支持/电气性能/标称电压：/DC12V/工作湿度：/10% ~ 90%/工作温度：/-20℃ ~ + 60℃/功耗：/静态功耗：80mA 报警功耗：1.5A MAX/电源：/DC 8-16V/软件功能/配置方式：/WEB/日志：/1万条/升级方式：/WEB/板载语音提示：/支持/网络接口：/1个100M以太网/RS-485：/1路/IO 输入：/2路/产品执行标准</w:t>
            </w:r>
          </w:p>
        </w:tc>
        <w:tc>
          <w:tcPr>
            <w:tcW w:w="534" w:type="pct"/>
            <w:vAlign w:val="center"/>
          </w:tcPr>
          <w:p w14:paraId="7C2DF50F">
            <w:pPr>
              <w:pStyle w:val="13"/>
              <w:numPr>
                <w:ilvl w:val="0"/>
                <w:numId w:val="0"/>
              </w:numPr>
              <w:jc w:val="center"/>
              <w:rPr>
                <w:rFonts w:hint="eastAsia"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个</w:t>
            </w:r>
          </w:p>
        </w:tc>
        <w:tc>
          <w:tcPr>
            <w:tcW w:w="534" w:type="pct"/>
            <w:vAlign w:val="center"/>
          </w:tcPr>
          <w:p w14:paraId="13253F75">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1</w:t>
            </w:r>
          </w:p>
        </w:tc>
      </w:tr>
      <w:tr w14:paraId="620AC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092DD55A">
            <w:pPr>
              <w:pStyle w:val="13"/>
              <w:numPr>
                <w:ilvl w:val="0"/>
                <w:numId w:val="0"/>
              </w:numPr>
              <w:jc w:val="center"/>
              <w:rPr>
                <w:rFonts w:hint="default"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6</w:t>
            </w:r>
          </w:p>
        </w:tc>
        <w:tc>
          <w:tcPr>
            <w:tcW w:w="451" w:type="pct"/>
            <w:shd w:val="clear" w:color="auto" w:fill="auto"/>
            <w:vAlign w:val="center"/>
          </w:tcPr>
          <w:p w14:paraId="5A54CD2A">
            <w:pPr>
              <w:keepNext w:val="0"/>
              <w:keepLines w:val="0"/>
              <w:widowControl/>
              <w:suppressLineNumbers w:val="0"/>
              <w:jc w:val="center"/>
              <w:textAlignment w:val="center"/>
              <w:rPr>
                <w:rFonts w:hint="default" w:ascii="等线" w:hAnsi="等线" w:eastAsia="等线" w:cs="等线"/>
                <w:i w:val="0"/>
                <w:iCs w:val="0"/>
                <w:snapToGrid w:val="0"/>
                <w:color w:val="000000"/>
                <w:kern w:val="0"/>
                <w:sz w:val="24"/>
                <w:szCs w:val="24"/>
                <w:u w:val="none"/>
                <w:lang w:val="en-US" w:eastAsia="zh-CN" w:bidi="ar-SA"/>
              </w:rPr>
            </w:pPr>
            <w:r>
              <w:rPr>
                <w:rFonts w:hint="default" w:ascii="等线" w:hAnsi="等线" w:eastAsia="等线" w:cs="等线"/>
                <w:i w:val="0"/>
                <w:iCs w:val="0"/>
                <w:snapToGrid w:val="0"/>
                <w:color w:val="000000"/>
                <w:kern w:val="0"/>
                <w:sz w:val="24"/>
                <w:szCs w:val="24"/>
                <w:u w:val="none"/>
                <w:lang w:val="en-US" w:eastAsia="zh-CN" w:bidi="ar"/>
              </w:rPr>
              <w:t>模块电源</w:t>
            </w:r>
          </w:p>
        </w:tc>
        <w:tc>
          <w:tcPr>
            <w:tcW w:w="3216" w:type="pct"/>
            <w:shd w:val="clear" w:color="auto" w:fill="auto"/>
            <w:vAlign w:val="center"/>
          </w:tcPr>
          <w:p w14:paraId="37D4C616">
            <w:pPr>
              <w:keepNext w:val="0"/>
              <w:keepLines w:val="0"/>
              <w:widowControl/>
              <w:suppressLineNumbers w:val="0"/>
              <w:jc w:val="center"/>
              <w:textAlignment w:val="center"/>
              <w:rPr>
                <w:rFonts w:hint="default" w:ascii="等线" w:hAnsi="等线" w:eastAsia="等线" w:cs="等线"/>
                <w:i w:val="0"/>
                <w:iCs w:val="0"/>
                <w:snapToGrid w:val="0"/>
                <w:color w:val="000000"/>
                <w:kern w:val="0"/>
                <w:sz w:val="24"/>
                <w:szCs w:val="24"/>
                <w:u w:val="none"/>
                <w:lang w:val="en-US" w:eastAsia="zh-CN" w:bidi="ar-SA"/>
              </w:rPr>
            </w:pPr>
            <w:r>
              <w:rPr>
                <w:rFonts w:hint="default" w:ascii="等线" w:hAnsi="等线" w:eastAsia="等线" w:cs="等线"/>
                <w:i w:val="0"/>
                <w:iCs w:val="0"/>
                <w:snapToGrid w:val="0"/>
                <w:color w:val="000000"/>
                <w:kern w:val="0"/>
                <w:sz w:val="24"/>
                <w:szCs w:val="24"/>
                <w:u w:val="none"/>
                <w:lang w:val="en-US" w:eastAsia="zh-CN" w:bidi="ar"/>
              </w:rPr>
              <w:t>小耳朵电源，模块供电</w:t>
            </w:r>
          </w:p>
        </w:tc>
        <w:tc>
          <w:tcPr>
            <w:tcW w:w="534" w:type="pct"/>
            <w:vAlign w:val="center"/>
          </w:tcPr>
          <w:p w14:paraId="3ACAF578">
            <w:pPr>
              <w:pStyle w:val="13"/>
              <w:numPr>
                <w:ilvl w:val="0"/>
                <w:numId w:val="0"/>
              </w:numPr>
              <w:jc w:val="center"/>
              <w:rPr>
                <w:rFonts w:hint="eastAsia"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个</w:t>
            </w:r>
          </w:p>
        </w:tc>
        <w:tc>
          <w:tcPr>
            <w:tcW w:w="534" w:type="pct"/>
            <w:vAlign w:val="center"/>
          </w:tcPr>
          <w:p w14:paraId="4FE19289">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38</w:t>
            </w:r>
          </w:p>
        </w:tc>
      </w:tr>
      <w:tr w14:paraId="2849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72017F20">
            <w:pPr>
              <w:pStyle w:val="13"/>
              <w:numPr>
                <w:ilvl w:val="0"/>
                <w:numId w:val="0"/>
              </w:numPr>
              <w:jc w:val="center"/>
              <w:rPr>
                <w:rFonts w:hint="eastAsia" w:eastAsia="等线" w:cs="Arial"/>
                <w:snapToGrid/>
                <w:color w:val="auto"/>
                <w:kern w:val="0"/>
                <w:sz w:val="22"/>
                <w:szCs w:val="22"/>
                <w:vertAlign w:val="baseline"/>
                <w:lang w:val="en-US" w:eastAsia="zh-CN" w:bidi="ar-SA"/>
              </w:rPr>
            </w:pPr>
          </w:p>
        </w:tc>
        <w:tc>
          <w:tcPr>
            <w:tcW w:w="451" w:type="pct"/>
            <w:shd w:val="clear" w:color="auto" w:fill="auto"/>
            <w:vAlign w:val="center"/>
          </w:tcPr>
          <w:p w14:paraId="748A280F">
            <w:pPr>
              <w:keepNext w:val="0"/>
              <w:keepLines w:val="0"/>
              <w:widowControl/>
              <w:suppressLineNumbers w:val="0"/>
              <w:jc w:val="center"/>
              <w:textAlignment w:val="center"/>
              <w:rPr>
                <w:rFonts w:hint="default" w:ascii="等线" w:hAnsi="等线" w:eastAsia="等线" w:cs="等线"/>
                <w:i w:val="0"/>
                <w:iCs w:val="0"/>
                <w:snapToGrid w:val="0"/>
                <w:color w:val="000000"/>
                <w:kern w:val="0"/>
                <w:sz w:val="24"/>
                <w:szCs w:val="24"/>
                <w:u w:val="none"/>
                <w:lang w:val="en-US" w:eastAsia="zh-CN" w:bidi="ar-SA"/>
              </w:rPr>
            </w:pPr>
            <w:r>
              <w:rPr>
                <w:rFonts w:hint="default" w:ascii="等线" w:hAnsi="等线" w:eastAsia="等线" w:cs="等线"/>
                <w:i w:val="0"/>
                <w:iCs w:val="0"/>
                <w:snapToGrid w:val="0"/>
                <w:color w:val="000000"/>
                <w:kern w:val="0"/>
                <w:sz w:val="24"/>
                <w:szCs w:val="24"/>
                <w:u w:val="none"/>
                <w:lang w:val="en-US" w:eastAsia="zh-CN" w:bidi="ar"/>
              </w:rPr>
              <w:t>网线</w:t>
            </w:r>
          </w:p>
        </w:tc>
        <w:tc>
          <w:tcPr>
            <w:tcW w:w="3216" w:type="pct"/>
            <w:shd w:val="clear" w:color="auto" w:fill="auto"/>
            <w:vAlign w:val="center"/>
          </w:tcPr>
          <w:p w14:paraId="7D5E3D52">
            <w:pPr>
              <w:keepNext w:val="0"/>
              <w:keepLines w:val="0"/>
              <w:widowControl/>
              <w:suppressLineNumbers w:val="0"/>
              <w:jc w:val="left"/>
              <w:textAlignment w:val="center"/>
              <w:rPr>
                <w:rFonts w:hint="default" w:ascii="等线" w:hAnsi="等线" w:eastAsia="等线" w:cs="等线"/>
                <w:i w:val="0"/>
                <w:iCs w:val="0"/>
                <w:snapToGrid w:val="0"/>
                <w:color w:val="000000"/>
                <w:kern w:val="0"/>
                <w:sz w:val="24"/>
                <w:szCs w:val="24"/>
                <w:u w:val="none"/>
                <w:lang w:val="en-US" w:eastAsia="zh-CN" w:bidi="ar"/>
              </w:rPr>
            </w:pPr>
            <w:r>
              <w:rPr>
                <w:rFonts w:hint="default" w:ascii="等线" w:hAnsi="等线" w:eastAsia="等线" w:cs="等线"/>
                <w:i w:val="0"/>
                <w:iCs w:val="0"/>
                <w:snapToGrid w:val="0"/>
                <w:color w:val="000000"/>
                <w:kern w:val="0"/>
                <w:sz w:val="24"/>
                <w:szCs w:val="24"/>
                <w:u w:val="none"/>
                <w:lang w:val="en-US" w:eastAsia="zh-CN" w:bidi="ar"/>
              </w:rPr>
              <w:t>超五类</w:t>
            </w:r>
          </w:p>
        </w:tc>
        <w:tc>
          <w:tcPr>
            <w:tcW w:w="534" w:type="pct"/>
            <w:vAlign w:val="center"/>
          </w:tcPr>
          <w:p w14:paraId="4687BC3C">
            <w:pPr>
              <w:pStyle w:val="13"/>
              <w:numPr>
                <w:ilvl w:val="0"/>
                <w:numId w:val="0"/>
              </w:numPr>
              <w:jc w:val="center"/>
              <w:rPr>
                <w:rFonts w:hint="eastAsia"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米</w:t>
            </w:r>
          </w:p>
        </w:tc>
        <w:tc>
          <w:tcPr>
            <w:tcW w:w="534" w:type="pct"/>
            <w:vAlign w:val="center"/>
          </w:tcPr>
          <w:p w14:paraId="2D7F4695">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3000</w:t>
            </w:r>
          </w:p>
        </w:tc>
      </w:tr>
      <w:tr w14:paraId="50B5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0C237997">
            <w:pPr>
              <w:pStyle w:val="13"/>
              <w:numPr>
                <w:ilvl w:val="0"/>
                <w:numId w:val="0"/>
              </w:numPr>
              <w:jc w:val="center"/>
              <w:rPr>
                <w:rFonts w:hint="default"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7</w:t>
            </w:r>
          </w:p>
        </w:tc>
        <w:tc>
          <w:tcPr>
            <w:tcW w:w="451" w:type="pct"/>
            <w:shd w:val="clear" w:color="auto" w:fill="auto"/>
            <w:vAlign w:val="center"/>
          </w:tcPr>
          <w:p w14:paraId="6802A511">
            <w:pPr>
              <w:keepNext w:val="0"/>
              <w:keepLines w:val="0"/>
              <w:widowControl/>
              <w:suppressLineNumbers w:val="0"/>
              <w:jc w:val="center"/>
              <w:textAlignment w:val="center"/>
              <w:rPr>
                <w:rFonts w:hint="default" w:ascii="等线" w:hAnsi="等线" w:eastAsia="等线" w:cs="等线"/>
                <w:i w:val="0"/>
                <w:iCs w:val="0"/>
                <w:snapToGrid w:val="0"/>
                <w:color w:val="000000"/>
                <w:kern w:val="0"/>
                <w:sz w:val="24"/>
                <w:szCs w:val="24"/>
                <w:u w:val="none"/>
                <w:lang w:val="en-US" w:eastAsia="zh-CN" w:bidi="ar-SA"/>
              </w:rPr>
            </w:pPr>
            <w:r>
              <w:rPr>
                <w:rFonts w:hint="default" w:ascii="等线" w:hAnsi="等线" w:eastAsia="等线" w:cs="等线"/>
                <w:i w:val="0"/>
                <w:iCs w:val="0"/>
                <w:snapToGrid w:val="0"/>
                <w:color w:val="000000"/>
                <w:kern w:val="0"/>
                <w:sz w:val="24"/>
                <w:szCs w:val="24"/>
                <w:u w:val="none"/>
                <w:lang w:val="en-US" w:eastAsia="zh-CN" w:bidi="ar"/>
              </w:rPr>
              <w:t>硬盘录像机</w:t>
            </w:r>
          </w:p>
        </w:tc>
        <w:tc>
          <w:tcPr>
            <w:tcW w:w="3216" w:type="pct"/>
            <w:shd w:val="clear" w:color="auto" w:fill="auto"/>
            <w:vAlign w:val="center"/>
          </w:tcPr>
          <w:p w14:paraId="4E4992E1">
            <w:pPr>
              <w:keepNext w:val="0"/>
              <w:keepLines w:val="0"/>
              <w:widowControl/>
              <w:suppressLineNumbers w:val="0"/>
              <w:jc w:val="left"/>
              <w:textAlignment w:val="center"/>
              <w:rPr>
                <w:rFonts w:hint="default" w:ascii="等线" w:hAnsi="等线" w:eastAsia="等线" w:cs="等线"/>
                <w:i w:val="0"/>
                <w:iCs w:val="0"/>
                <w:snapToGrid w:val="0"/>
                <w:color w:val="000000"/>
                <w:kern w:val="0"/>
                <w:sz w:val="24"/>
                <w:szCs w:val="24"/>
                <w:u w:val="none"/>
                <w:lang w:val="en-US" w:eastAsia="zh-CN" w:bidi="ar"/>
              </w:rPr>
            </w:pPr>
            <w:r>
              <w:rPr>
                <w:rFonts w:hint="default" w:ascii="等线" w:hAnsi="等线" w:eastAsia="等线" w:cs="等线"/>
                <w:i w:val="0"/>
                <w:iCs w:val="0"/>
                <w:snapToGrid w:val="0"/>
                <w:color w:val="000000"/>
                <w:kern w:val="0"/>
                <w:sz w:val="24"/>
                <w:szCs w:val="24"/>
                <w:u w:val="none"/>
                <w:lang w:val="en-US" w:eastAsia="zh-CN" w:bidi="ar"/>
              </w:rPr>
              <w:t>可接驳符合 ONVIF，RTSP 标准的众多主流厂商网络摄像机；</w:t>
            </w:r>
          </w:p>
          <w:p w14:paraId="13B724D3">
            <w:pPr>
              <w:keepNext w:val="0"/>
              <w:keepLines w:val="0"/>
              <w:widowControl/>
              <w:suppressLineNumbers w:val="0"/>
              <w:jc w:val="left"/>
              <w:textAlignment w:val="center"/>
              <w:rPr>
                <w:rFonts w:hint="default" w:ascii="等线" w:hAnsi="等线" w:eastAsia="等线" w:cs="等线"/>
                <w:i w:val="0"/>
                <w:iCs w:val="0"/>
                <w:snapToGrid w:val="0"/>
                <w:color w:val="000000"/>
                <w:kern w:val="0"/>
                <w:sz w:val="24"/>
                <w:szCs w:val="24"/>
                <w:u w:val="none"/>
                <w:lang w:val="en-US" w:eastAsia="zh-CN" w:bidi="ar"/>
              </w:rPr>
            </w:pPr>
            <w:r>
              <w:rPr>
                <w:rFonts w:hint="default" w:ascii="等线" w:hAnsi="等线" w:eastAsia="等线" w:cs="等线"/>
                <w:i w:val="0"/>
                <w:iCs w:val="0"/>
                <w:snapToGrid w:val="0"/>
                <w:color w:val="000000"/>
                <w:kern w:val="0"/>
                <w:sz w:val="24"/>
                <w:szCs w:val="24"/>
                <w:u w:val="none"/>
                <w:lang w:val="en-US" w:eastAsia="zh-CN" w:bidi="ar"/>
              </w:rPr>
              <w:t>支持输入 H. 265、Smart265、 H. 264、Smart264视频编码码流；</w:t>
            </w:r>
          </w:p>
          <w:p w14:paraId="2EC7BEF3">
            <w:pPr>
              <w:keepNext w:val="0"/>
              <w:keepLines w:val="0"/>
              <w:widowControl/>
              <w:suppressLineNumbers w:val="0"/>
              <w:jc w:val="left"/>
              <w:textAlignment w:val="center"/>
              <w:rPr>
                <w:rFonts w:hint="default" w:ascii="等线" w:hAnsi="等线" w:eastAsia="等线" w:cs="等线"/>
                <w:i w:val="0"/>
                <w:iCs w:val="0"/>
                <w:snapToGrid w:val="0"/>
                <w:color w:val="000000"/>
                <w:kern w:val="0"/>
                <w:sz w:val="24"/>
                <w:szCs w:val="24"/>
                <w:u w:val="none"/>
                <w:lang w:val="en-US" w:eastAsia="zh-CN" w:bidi="ar"/>
              </w:rPr>
            </w:pPr>
            <w:r>
              <w:rPr>
                <w:rFonts w:hint="default" w:ascii="等线" w:hAnsi="等线" w:eastAsia="等线" w:cs="等线"/>
                <w:i w:val="0"/>
                <w:iCs w:val="0"/>
                <w:snapToGrid w:val="0"/>
                <w:color w:val="000000"/>
                <w:kern w:val="0"/>
                <w:sz w:val="24"/>
                <w:szCs w:val="24"/>
                <w:u w:val="none"/>
                <w:lang w:val="en-US" w:eastAsia="zh-CN" w:bidi="ar"/>
              </w:rPr>
              <w:t>最大支持8路1080P解码（开启 SVC 增强模式后，可提升至12路1080P解码）；存储与回放；</w:t>
            </w:r>
          </w:p>
          <w:p w14:paraId="3DFE048F">
            <w:pPr>
              <w:keepNext w:val="0"/>
              <w:keepLines w:val="0"/>
              <w:widowControl/>
              <w:suppressLineNumbers w:val="0"/>
              <w:jc w:val="left"/>
              <w:textAlignment w:val="center"/>
              <w:rPr>
                <w:rFonts w:hint="default" w:ascii="等线" w:hAnsi="等线" w:eastAsia="等线" w:cs="等线"/>
                <w:i w:val="0"/>
                <w:iCs w:val="0"/>
                <w:snapToGrid w:val="0"/>
                <w:color w:val="000000"/>
                <w:kern w:val="0"/>
                <w:sz w:val="24"/>
                <w:szCs w:val="24"/>
                <w:u w:val="none"/>
                <w:lang w:val="en-US" w:eastAsia="zh-CN" w:bidi="ar"/>
              </w:rPr>
            </w:pPr>
            <w:r>
              <w:rPr>
                <w:rFonts w:hint="default" w:ascii="等线" w:hAnsi="等线" w:eastAsia="等线" w:cs="等线"/>
                <w:i w:val="0"/>
                <w:iCs w:val="0"/>
                <w:snapToGrid w:val="0"/>
                <w:color w:val="000000"/>
                <w:kern w:val="0"/>
                <w:sz w:val="24"/>
                <w:szCs w:val="24"/>
                <w:u w:val="none"/>
                <w:lang w:val="en-US" w:eastAsia="zh-CN" w:bidi="ar"/>
              </w:rPr>
              <w:t>支持6MP高清网络视频的预览，HDMI 最大支持超高清4K输出， VGA 同源输出1080P输出；</w:t>
            </w:r>
          </w:p>
          <w:p w14:paraId="2F5016AA">
            <w:pPr>
              <w:keepNext w:val="0"/>
              <w:keepLines w:val="0"/>
              <w:widowControl/>
              <w:suppressLineNumbers w:val="0"/>
              <w:jc w:val="left"/>
              <w:textAlignment w:val="center"/>
              <w:rPr>
                <w:rFonts w:hint="default" w:ascii="等线" w:hAnsi="等线" w:eastAsia="等线" w:cs="等线"/>
                <w:i w:val="0"/>
                <w:iCs w:val="0"/>
                <w:snapToGrid w:val="0"/>
                <w:color w:val="000000"/>
                <w:kern w:val="0"/>
                <w:sz w:val="24"/>
                <w:szCs w:val="24"/>
                <w:u w:val="none"/>
                <w:lang w:val="en-US" w:eastAsia="zh-CN" w:bidi="ar"/>
              </w:rPr>
            </w:pPr>
            <w:r>
              <w:rPr>
                <w:rFonts w:hint="default" w:ascii="等线" w:hAnsi="等线" w:eastAsia="等线" w:cs="等线"/>
                <w:i w:val="0"/>
                <w:iCs w:val="0"/>
                <w:snapToGrid w:val="0"/>
                <w:color w:val="000000"/>
                <w:kern w:val="0"/>
                <w:sz w:val="24"/>
                <w:szCs w:val="24"/>
                <w:u w:val="none"/>
                <w:lang w:val="en-US" w:eastAsia="zh-CN" w:bidi="ar"/>
              </w:rPr>
              <w:t>支持2个 SATA 接口，最大支持8TB硬盘</w:t>
            </w:r>
          </w:p>
          <w:p w14:paraId="1B9F5BDB">
            <w:pPr>
              <w:keepNext w:val="0"/>
              <w:keepLines w:val="0"/>
              <w:widowControl/>
              <w:suppressLineNumbers w:val="0"/>
              <w:jc w:val="left"/>
              <w:textAlignment w:val="center"/>
              <w:rPr>
                <w:rFonts w:hint="default" w:ascii="等线" w:hAnsi="等线" w:eastAsia="等线" w:cs="等线"/>
                <w:i w:val="0"/>
                <w:iCs w:val="0"/>
                <w:snapToGrid w:val="0"/>
                <w:color w:val="000000"/>
                <w:kern w:val="0"/>
                <w:sz w:val="24"/>
                <w:szCs w:val="24"/>
                <w:u w:val="none"/>
                <w:lang w:val="en-US" w:eastAsia="zh-CN" w:bidi="ar"/>
              </w:rPr>
            </w:pPr>
            <w:r>
              <w:rPr>
                <w:rFonts w:hint="default" w:ascii="等线" w:hAnsi="等线" w:eastAsia="等线" w:cs="等线"/>
                <w:i w:val="0"/>
                <w:iCs w:val="0"/>
                <w:snapToGrid w:val="0"/>
                <w:color w:val="000000"/>
                <w:kern w:val="0"/>
                <w:sz w:val="24"/>
                <w:szCs w:val="24"/>
                <w:u w:val="none"/>
                <w:lang w:val="en-US" w:eastAsia="zh-CN" w:bidi="ar"/>
              </w:rPr>
              <w:t>支持 NVR 后智能分析能力，支持智能移动侦测去报，可精准过滤非人、非车移动侦测误报，大幅提升移动侦测报警准确性；针对人、车及事件类型，支持快速回放与智能检索功能，大幅提升录像回放和检索效率；支持萤石云服务，通过海康互联 APP 可实现手机远程预览/回放/配置；</w:t>
            </w:r>
          </w:p>
          <w:p w14:paraId="2A98FB80">
            <w:pPr>
              <w:keepNext w:val="0"/>
              <w:keepLines w:val="0"/>
              <w:widowControl/>
              <w:suppressLineNumbers w:val="0"/>
              <w:jc w:val="left"/>
              <w:textAlignment w:val="center"/>
              <w:rPr>
                <w:rFonts w:hint="default" w:ascii="等线" w:hAnsi="等线" w:eastAsia="等线" w:cs="等线"/>
                <w:i w:val="0"/>
                <w:iCs w:val="0"/>
                <w:snapToGrid w:val="0"/>
                <w:color w:val="000000"/>
                <w:kern w:val="0"/>
                <w:sz w:val="24"/>
                <w:szCs w:val="24"/>
                <w:u w:val="none"/>
                <w:lang w:val="en-US" w:eastAsia="zh-CN" w:bidi="ar-SA"/>
              </w:rPr>
            </w:pPr>
            <w:r>
              <w:rPr>
                <w:rFonts w:hint="default" w:ascii="等线" w:hAnsi="等线" w:eastAsia="等线" w:cs="等线"/>
                <w:i w:val="0"/>
                <w:iCs w:val="0"/>
                <w:snapToGrid w:val="0"/>
                <w:color w:val="000000"/>
                <w:kern w:val="0"/>
                <w:sz w:val="24"/>
                <w:szCs w:val="24"/>
                <w:u w:val="none"/>
                <w:lang w:val="en-US" w:eastAsia="zh-CN" w:bidi="ar"/>
              </w:rPr>
              <w:t>支持通过萤石、ISUP 以及GB28181协议接入平台</w:t>
            </w:r>
          </w:p>
        </w:tc>
        <w:tc>
          <w:tcPr>
            <w:tcW w:w="534" w:type="pct"/>
            <w:vAlign w:val="center"/>
          </w:tcPr>
          <w:p w14:paraId="14FFA671">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台</w:t>
            </w:r>
          </w:p>
        </w:tc>
        <w:tc>
          <w:tcPr>
            <w:tcW w:w="534" w:type="pct"/>
            <w:vAlign w:val="center"/>
          </w:tcPr>
          <w:p w14:paraId="4F5914A5">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1</w:t>
            </w:r>
          </w:p>
        </w:tc>
      </w:tr>
      <w:tr w14:paraId="567DE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 w:type="pct"/>
            <w:vAlign w:val="center"/>
          </w:tcPr>
          <w:p w14:paraId="409425C9">
            <w:pPr>
              <w:pStyle w:val="13"/>
              <w:numPr>
                <w:ilvl w:val="0"/>
                <w:numId w:val="0"/>
              </w:numPr>
              <w:jc w:val="center"/>
              <w:rPr>
                <w:rFonts w:hint="default"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8</w:t>
            </w:r>
          </w:p>
        </w:tc>
        <w:tc>
          <w:tcPr>
            <w:tcW w:w="451" w:type="pct"/>
            <w:shd w:val="clear" w:color="auto" w:fill="auto"/>
            <w:vAlign w:val="center"/>
          </w:tcPr>
          <w:p w14:paraId="1798CD9E">
            <w:pPr>
              <w:keepNext w:val="0"/>
              <w:keepLines w:val="0"/>
              <w:widowControl/>
              <w:suppressLineNumbers w:val="0"/>
              <w:jc w:val="center"/>
              <w:textAlignment w:val="center"/>
              <w:rPr>
                <w:rFonts w:hint="default" w:ascii="等线" w:hAnsi="等线" w:eastAsia="等线" w:cs="等线"/>
                <w:i w:val="0"/>
                <w:iCs w:val="0"/>
                <w:snapToGrid w:val="0"/>
                <w:color w:val="000000"/>
                <w:kern w:val="0"/>
                <w:sz w:val="24"/>
                <w:szCs w:val="24"/>
                <w:u w:val="none"/>
                <w:lang w:val="en-US" w:eastAsia="zh-CN" w:bidi="ar-SA"/>
              </w:rPr>
            </w:pPr>
            <w:r>
              <w:rPr>
                <w:rFonts w:hint="default" w:ascii="等线" w:hAnsi="等线" w:eastAsia="等线" w:cs="等线"/>
                <w:i w:val="0"/>
                <w:iCs w:val="0"/>
                <w:snapToGrid w:val="0"/>
                <w:color w:val="000000"/>
                <w:kern w:val="0"/>
                <w:sz w:val="24"/>
                <w:szCs w:val="24"/>
                <w:u w:val="none"/>
                <w:lang w:val="en-US" w:eastAsia="zh-CN" w:bidi="ar"/>
              </w:rPr>
              <w:t>监控硬盘</w:t>
            </w:r>
          </w:p>
        </w:tc>
        <w:tc>
          <w:tcPr>
            <w:tcW w:w="3216" w:type="pct"/>
            <w:shd w:val="clear" w:color="auto" w:fill="auto"/>
            <w:vAlign w:val="center"/>
          </w:tcPr>
          <w:p w14:paraId="6FEC5A61">
            <w:pPr>
              <w:keepNext w:val="0"/>
              <w:keepLines w:val="0"/>
              <w:widowControl/>
              <w:suppressLineNumbers w:val="0"/>
              <w:jc w:val="center"/>
              <w:textAlignment w:val="center"/>
              <w:rPr>
                <w:rFonts w:hint="default" w:ascii="等线" w:hAnsi="等线" w:eastAsia="等线" w:cs="等线"/>
                <w:i w:val="0"/>
                <w:iCs w:val="0"/>
                <w:snapToGrid w:val="0"/>
                <w:color w:val="000000"/>
                <w:kern w:val="0"/>
                <w:sz w:val="24"/>
                <w:szCs w:val="24"/>
                <w:u w:val="none"/>
                <w:lang w:val="en-US" w:eastAsia="zh-CN" w:bidi="ar-SA"/>
              </w:rPr>
            </w:pPr>
            <w:r>
              <w:rPr>
                <w:rFonts w:hint="default" w:ascii="等线" w:hAnsi="等线" w:eastAsia="等线" w:cs="等线"/>
                <w:i w:val="0"/>
                <w:iCs w:val="0"/>
                <w:snapToGrid w:val="0"/>
                <w:color w:val="000000"/>
                <w:kern w:val="0"/>
                <w:sz w:val="24"/>
                <w:szCs w:val="24"/>
                <w:u w:val="none"/>
                <w:lang w:val="en-US" w:eastAsia="zh-CN" w:bidi="ar"/>
              </w:rPr>
              <w:t>监控专用硬盘，</w:t>
            </w:r>
            <w:r>
              <w:rPr>
                <w:rFonts w:hint="eastAsia" w:ascii="等线" w:hAnsi="等线" w:eastAsia="等线" w:cs="等线"/>
                <w:i w:val="0"/>
                <w:iCs w:val="0"/>
                <w:snapToGrid w:val="0"/>
                <w:color w:val="000000"/>
                <w:kern w:val="0"/>
                <w:sz w:val="24"/>
                <w:szCs w:val="24"/>
                <w:u w:val="none"/>
                <w:lang w:val="en-US" w:eastAsia="zh-CN" w:bidi="ar"/>
              </w:rPr>
              <w:t>单个容量≥6T，</w:t>
            </w:r>
            <w:r>
              <w:rPr>
                <w:rFonts w:hint="default" w:ascii="等线" w:hAnsi="等线" w:eastAsia="等线" w:cs="等线"/>
                <w:i w:val="0"/>
                <w:iCs w:val="0"/>
                <w:snapToGrid w:val="0"/>
                <w:color w:val="000000"/>
                <w:kern w:val="0"/>
                <w:sz w:val="24"/>
                <w:szCs w:val="24"/>
                <w:u w:val="none"/>
                <w:lang w:val="en-US" w:eastAsia="zh-CN" w:bidi="ar"/>
              </w:rPr>
              <w:t>7*24小时工作。</w:t>
            </w:r>
          </w:p>
        </w:tc>
        <w:tc>
          <w:tcPr>
            <w:tcW w:w="534" w:type="pct"/>
            <w:vAlign w:val="center"/>
          </w:tcPr>
          <w:p w14:paraId="79CAFA6E">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个</w:t>
            </w:r>
          </w:p>
        </w:tc>
        <w:tc>
          <w:tcPr>
            <w:tcW w:w="534" w:type="pct"/>
            <w:vAlign w:val="center"/>
          </w:tcPr>
          <w:p w14:paraId="5DFE1190">
            <w:pPr>
              <w:pStyle w:val="13"/>
              <w:numPr>
                <w:ilvl w:val="0"/>
                <w:numId w:val="0"/>
              </w:numPr>
              <w:jc w:val="center"/>
              <w:rPr>
                <w:rFonts w:hint="default" w:ascii="Arial" w:hAnsi="Arial" w:eastAsia="等线" w:cs="Arial"/>
                <w:snapToGrid/>
                <w:color w:val="auto"/>
                <w:kern w:val="0"/>
                <w:sz w:val="22"/>
                <w:szCs w:val="22"/>
                <w:vertAlign w:val="baseline"/>
                <w:lang w:val="en-US" w:eastAsia="zh-CN" w:bidi="ar-SA"/>
              </w:rPr>
            </w:pPr>
            <w:r>
              <w:rPr>
                <w:rFonts w:hint="eastAsia" w:eastAsia="等线" w:cs="Arial"/>
                <w:snapToGrid/>
                <w:color w:val="auto"/>
                <w:kern w:val="0"/>
                <w:sz w:val="22"/>
                <w:szCs w:val="22"/>
                <w:vertAlign w:val="baseline"/>
                <w:lang w:val="en-US" w:eastAsia="zh-CN" w:bidi="ar-SA"/>
              </w:rPr>
              <w:t>2</w:t>
            </w:r>
          </w:p>
        </w:tc>
      </w:tr>
    </w:tbl>
    <w:p w14:paraId="3B8E42FD">
      <w:pPr>
        <w:pStyle w:val="13"/>
        <w:numPr>
          <w:ilvl w:val="0"/>
          <w:numId w:val="0"/>
        </w:numPr>
        <w:ind w:firstLine="643" w:firstLineChars="200"/>
        <w:jc w:val="both"/>
        <w:rPr>
          <w:rFonts w:hint="default" w:ascii="方正仿宋_GB2312" w:hAnsi="方正仿宋_GB2312" w:eastAsia="方正仿宋_GB2312" w:cs="方正仿宋_GB2312"/>
          <w:b/>
          <w:bCs/>
          <w:color w:val="auto"/>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三、商务要求</w:t>
      </w:r>
    </w:p>
    <w:p w14:paraId="139353DD">
      <w:pPr>
        <w:pStyle w:val="14"/>
        <w:numPr>
          <w:ilvl w:val="0"/>
          <w:numId w:val="0"/>
        </w:numPr>
        <w:ind w:firstLine="440" w:firstLineChars="200"/>
      </w:pPr>
      <w:r>
        <w:rPr>
          <w:rFonts w:hint="eastAsia"/>
          <w:b/>
          <w:bCs/>
          <w:color w:val="auto"/>
          <w:lang w:val="en-US" w:eastAsia="zh-CN"/>
        </w:rPr>
        <w:t>1.</w:t>
      </w:r>
      <w:r>
        <w:rPr>
          <w:rFonts w:hint="eastAsia"/>
          <w:b/>
          <w:bCs/>
          <w:color w:val="auto"/>
          <w:lang w:eastAsia="zh-CN"/>
        </w:rPr>
        <w:t>工期时间</w:t>
      </w:r>
      <w:r>
        <w:rPr>
          <w:color w:val="auto"/>
        </w:rPr>
        <w:t>：自合同签订之日起</w:t>
      </w:r>
      <w:r>
        <w:rPr>
          <w:rFonts w:hint="eastAsia"/>
          <w:color w:val="auto"/>
          <w:lang w:val="en-US" w:eastAsia="zh-CN"/>
        </w:rPr>
        <w:t>10</w:t>
      </w:r>
      <w:r>
        <w:rPr>
          <w:color w:val="auto"/>
        </w:rPr>
        <w:t>日</w:t>
      </w:r>
      <w:r>
        <w:rPr>
          <w:rFonts w:hint="eastAsia"/>
          <w:color w:val="auto"/>
          <w:lang w:eastAsia="zh-CN"/>
        </w:rPr>
        <w:t>内完成安装调试</w:t>
      </w:r>
      <w:r>
        <w:t>。</w:t>
      </w:r>
    </w:p>
    <w:p w14:paraId="53B47D40">
      <w:pPr>
        <w:pStyle w:val="14"/>
        <w:numPr>
          <w:ilvl w:val="0"/>
          <w:numId w:val="0"/>
        </w:numPr>
        <w:ind w:leftChars="0" w:firstLine="440" w:firstLineChars="200"/>
        <w:rPr>
          <w:rFonts w:hint="default"/>
          <w:b/>
          <w:bCs/>
          <w:lang w:val="en-US" w:eastAsia="zh-CN"/>
        </w:rPr>
      </w:pPr>
      <w:r>
        <w:rPr>
          <w:rFonts w:hint="eastAsia"/>
          <w:b/>
          <w:bCs/>
          <w:lang w:val="en-US" w:eastAsia="zh-CN"/>
        </w:rPr>
        <w:t>2.质保期：</w:t>
      </w:r>
      <w:r>
        <w:rPr>
          <w:rFonts w:hint="eastAsia"/>
          <w:color w:val="auto"/>
          <w:lang w:val="en-US" w:eastAsia="zh-CN"/>
        </w:rPr>
        <w:t>≥1年。</w:t>
      </w:r>
    </w:p>
    <w:p w14:paraId="2517EC10">
      <w:pPr>
        <w:pStyle w:val="14"/>
        <w:numPr>
          <w:ilvl w:val="0"/>
          <w:numId w:val="0"/>
        </w:numPr>
        <w:ind w:leftChars="0" w:firstLine="440" w:firstLineChars="200"/>
      </w:pPr>
      <w:r>
        <w:rPr>
          <w:rFonts w:hint="eastAsia"/>
          <w:b/>
          <w:bCs/>
          <w:lang w:val="en-US" w:eastAsia="zh-CN"/>
        </w:rPr>
        <w:t>2.</w:t>
      </w:r>
      <w:r>
        <w:rPr>
          <w:rFonts w:hint="eastAsia"/>
          <w:b/>
          <w:bCs/>
          <w:lang w:eastAsia="zh-CN"/>
        </w:rPr>
        <w:t>服务地点</w:t>
      </w:r>
      <w:r>
        <w:t>：宜宾市</w:t>
      </w:r>
      <w:r>
        <w:rPr>
          <w:rFonts w:hint="eastAsia"/>
        </w:rPr>
        <w:t>高县中医医院</w:t>
      </w:r>
      <w:r>
        <w:t>。</w:t>
      </w:r>
    </w:p>
    <w:p w14:paraId="41A7BE52">
      <w:pPr>
        <w:pStyle w:val="14"/>
        <w:numPr>
          <w:ilvl w:val="0"/>
          <w:numId w:val="0"/>
        </w:numPr>
        <w:ind w:leftChars="0" w:firstLine="440" w:firstLineChars="200"/>
        <w:rPr>
          <w:rFonts w:hint="eastAsia"/>
        </w:rPr>
      </w:pPr>
      <w:r>
        <w:rPr>
          <w:rFonts w:hint="eastAsia"/>
          <w:b/>
          <w:bCs/>
          <w:lang w:val="en-US" w:eastAsia="zh-CN"/>
        </w:rPr>
        <w:t>3.履约保证金：</w:t>
      </w:r>
      <w:r>
        <w:rPr>
          <w:rFonts w:hint="eastAsia"/>
          <w:lang w:val="en-US" w:eastAsia="zh-CN"/>
        </w:rPr>
        <w:t>不收取履约保证金</w:t>
      </w:r>
      <w:r>
        <w:rPr>
          <w:rFonts w:hint="default"/>
        </w:rPr>
        <w:t>。</w:t>
      </w:r>
    </w:p>
    <w:p w14:paraId="5A5B8FC6">
      <w:pPr>
        <w:pStyle w:val="14"/>
        <w:numPr>
          <w:ilvl w:val="0"/>
          <w:numId w:val="0"/>
        </w:numPr>
        <w:ind w:leftChars="0" w:firstLine="440" w:firstLineChars="200"/>
        <w:rPr>
          <w:rFonts w:hint="eastAsia"/>
          <w:lang w:val="en-US" w:eastAsia="zh-CN"/>
        </w:rPr>
      </w:pPr>
      <w:r>
        <w:rPr>
          <w:rFonts w:hint="eastAsia"/>
          <w:b/>
          <w:bCs/>
          <w:lang w:val="en-US" w:eastAsia="zh-CN"/>
        </w:rPr>
        <w:t>3.验收方式：</w:t>
      </w:r>
      <w:r>
        <w:rPr>
          <w:rFonts w:hint="eastAsia"/>
          <w:lang w:val="en-US" w:eastAsia="zh-CN"/>
        </w:rPr>
        <w:t>按国家有关规定以及采购要求的标准质量和技术指标(包括每一项技术和商务要求的履约情况)、供应商的响应文件及承诺与合同约定标准进行验收；采购双方如对质量要求和技术指标的约定标准有相互抵触或异议的事项，由我院在国家有关规定、采购文件、响应文件及承诺与采购合同约定中按质量要求和技术指标比较优胜的原则确定该项的约定标准进行验收。</w:t>
      </w:r>
    </w:p>
    <w:p w14:paraId="5D389414">
      <w:pPr>
        <w:pStyle w:val="14"/>
        <w:numPr>
          <w:ilvl w:val="0"/>
          <w:numId w:val="0"/>
        </w:numPr>
        <w:ind w:leftChars="0" w:firstLine="440" w:firstLineChars="200"/>
        <w:jc w:val="both"/>
        <w:rPr>
          <w:rFonts w:hint="eastAsia"/>
          <w:lang w:val="en-US" w:eastAsia="zh-CN"/>
        </w:rPr>
      </w:pPr>
      <w:r>
        <w:rPr>
          <w:rFonts w:hint="eastAsia"/>
          <w:b/>
          <w:bCs/>
          <w:lang w:val="en-US" w:eastAsia="zh-CN"/>
        </w:rPr>
        <w:t>4.</w:t>
      </w:r>
      <w:r>
        <w:rPr>
          <w:b/>
          <w:bCs/>
        </w:rPr>
        <w:t>付款方式</w:t>
      </w:r>
      <w:r>
        <w:t>：</w:t>
      </w:r>
      <w:r>
        <w:rPr>
          <w:rFonts w:hint="eastAsia"/>
          <w:lang w:val="en-US" w:eastAsia="zh-CN"/>
        </w:rPr>
        <w:t>一次性付清，经采购人验收合格后，收到供应商提交的与合同总价相一致的合法、有效、完整的完税发票及凭证资料，通过采购人付款审签流程后15日内一次性支付合同总金额100%的款项。</w:t>
      </w:r>
    </w:p>
    <w:p w14:paraId="18006806">
      <w:pPr>
        <w:pStyle w:val="14"/>
        <w:numPr>
          <w:ilvl w:val="0"/>
          <w:numId w:val="0"/>
        </w:numPr>
        <w:ind w:firstLine="440" w:firstLineChars="200"/>
        <w:rPr>
          <w:rFonts w:hint="eastAsia"/>
          <w:lang w:val="en-US" w:eastAsia="zh-CN"/>
        </w:rPr>
      </w:pPr>
      <w:r>
        <w:rPr>
          <w:rFonts w:hint="eastAsia"/>
          <w:b/>
          <w:bCs/>
          <w:lang w:val="en-US" w:eastAsia="zh-CN"/>
        </w:rPr>
        <w:t>5.违约责任与解决争议的方法：</w:t>
      </w:r>
      <w:r>
        <w:rPr>
          <w:rFonts w:hint="eastAsia"/>
          <w:lang w:val="en-US" w:eastAsia="zh-CN"/>
        </w:rPr>
        <w:t>政府采购合同的履行、违约责任和解决争议的方法等适用《中华人民共和国民法典》。</w:t>
      </w:r>
    </w:p>
    <w:p w14:paraId="17AE9FF2">
      <w:pPr>
        <w:pStyle w:val="13"/>
        <w:numPr>
          <w:ilvl w:val="0"/>
          <w:numId w:val="0"/>
        </w:numPr>
        <w:ind w:firstLine="643" w:firstLineChars="200"/>
        <w:jc w:val="both"/>
        <w:rPr>
          <w:rFonts w:hint="eastAsia" w:ascii="方正仿宋_GB2312" w:hAnsi="方正仿宋_GB2312" w:eastAsia="方正仿宋_GB2312" w:cs="方正仿宋_GB2312"/>
          <w:b/>
          <w:bCs/>
          <w:color w:val="000000"/>
          <w:kern w:val="0"/>
          <w:sz w:val="32"/>
          <w:szCs w:val="32"/>
          <w:vertAlign w:val="baseline"/>
          <w:lang w:val="en-US" w:eastAsia="zh-CN" w:bidi="ar-SA"/>
        </w:rPr>
      </w:pPr>
      <w:r>
        <w:rPr>
          <w:rFonts w:hint="eastAsia" w:ascii="方正仿宋_GB2312" w:hAnsi="方正仿宋_GB2312" w:eastAsia="方正仿宋_GB2312" w:cs="方正仿宋_GB2312"/>
          <w:b/>
          <w:bCs/>
          <w:color w:val="000000"/>
          <w:kern w:val="0"/>
          <w:sz w:val="32"/>
          <w:szCs w:val="32"/>
          <w:vertAlign w:val="baseline"/>
          <w:lang w:val="en-US" w:eastAsia="zh-CN" w:bidi="ar-SA"/>
        </w:rPr>
        <w:t>四、报价要求</w:t>
      </w:r>
    </w:p>
    <w:p w14:paraId="631D65F1">
      <w:pPr>
        <w:pStyle w:val="9"/>
        <w:numPr>
          <w:ilvl w:val="0"/>
          <w:numId w:val="0"/>
        </w:numPr>
        <w:ind w:firstLine="480" w:firstLineChars="200"/>
        <w:jc w:val="both"/>
        <w:rPr>
          <w:rFonts w:hint="eastAsia" w:ascii="仿宋_GB2312" w:hAnsi="仿宋_GB2312" w:eastAsia="仿宋_GB2312" w:cs="仿宋_GB2312"/>
          <w:color w:val="FF0000"/>
          <w:sz w:val="32"/>
          <w:szCs w:val="32"/>
          <w:lang w:val="en-US" w:eastAsia="zh-CN"/>
        </w:rPr>
      </w:pPr>
      <w:r>
        <w:rPr>
          <w:rFonts w:hint="eastAsia" w:ascii="Arial" w:hAnsi="Arial" w:eastAsia="宋体" w:cs="Arial"/>
          <w:color w:val="000000"/>
          <w:sz w:val="24"/>
          <w:szCs w:val="24"/>
          <w:lang w:val="en-US" w:eastAsia="zh-CN" w:bidi="ar-SA"/>
        </w:rPr>
        <w:t>项目最高限价</w:t>
      </w:r>
      <w:r>
        <w:rPr>
          <w:rFonts w:hint="eastAsia" w:ascii="Arial" w:hAnsi="Arial" w:eastAsia="宋体" w:cs="Arial"/>
          <w:color w:val="auto"/>
          <w:sz w:val="24"/>
          <w:szCs w:val="24"/>
          <w:lang w:val="en-US" w:eastAsia="zh-CN" w:bidi="ar-SA"/>
        </w:rPr>
        <w:t>：</w:t>
      </w:r>
      <w:r>
        <w:rPr>
          <w:rFonts w:hint="eastAsia" w:ascii="Arial" w:hAnsi="Arial" w:cs="Arial"/>
          <w:color w:val="000000"/>
          <w:sz w:val="24"/>
          <w:szCs w:val="24"/>
          <w:lang w:val="en-US" w:eastAsia="zh-CN" w:bidi="ar-SA"/>
        </w:rPr>
        <w:t>2.904</w:t>
      </w:r>
      <w:r>
        <w:rPr>
          <w:rFonts w:hint="eastAsia" w:ascii="Arial" w:hAnsi="Arial" w:eastAsia="宋体" w:cs="Arial"/>
          <w:color w:val="000000"/>
          <w:sz w:val="24"/>
          <w:szCs w:val="24"/>
          <w:lang w:val="en-US" w:eastAsia="zh-CN" w:bidi="ar-SA"/>
        </w:rPr>
        <w:t>万元，报价应包含与该项目有关的人工、设备、税费等一切费用。</w:t>
      </w:r>
    </w:p>
    <w:p w14:paraId="4400DD84">
      <w:pPr>
        <w:pStyle w:val="8"/>
        <w:numPr>
          <w:ilvl w:val="0"/>
          <w:numId w:val="0"/>
        </w:numPr>
        <w:spacing w:line="360" w:lineRule="auto"/>
        <w:ind w:leftChars="0" w:firstLine="321" w:firstLineChars="100"/>
        <w:rPr>
          <w:rFonts w:hint="eastAsia" w:ascii="方正仿宋_GB2312" w:hAnsi="方正仿宋_GB2312" w:eastAsia="方正仿宋_GB2312" w:cs="方正仿宋_GB2312"/>
          <w:i w:val="0"/>
          <w:iCs w:val="0"/>
          <w:caps w:val="0"/>
          <w:color w:val="000000"/>
          <w:spacing w:val="0"/>
          <w:sz w:val="24"/>
          <w:szCs w:val="24"/>
          <w:shd w:val="clear" w:fill="FFFFFF"/>
          <w:vertAlign w:val="baseline"/>
          <w:lang w:val="en-US" w:eastAsia="zh-CN"/>
        </w:rPr>
      </w:pPr>
      <w:r>
        <w:rPr>
          <w:rFonts w:hint="eastAsia" w:ascii="仿宋_GB2312" w:hAnsi="仿宋_GB2312" w:eastAsia="仿宋_GB2312" w:cs="仿宋_GB2312"/>
          <w:b/>
          <w:bCs/>
          <w:sz w:val="32"/>
          <w:szCs w:val="32"/>
          <w:lang w:val="en-US" w:eastAsia="zh-CN"/>
        </w:rPr>
        <w:t>注：</w:t>
      </w:r>
      <w:r>
        <w:rPr>
          <w:rFonts w:hint="eastAsia" w:ascii="仿宋_GB2312" w:hAnsi="仿宋_GB2312" w:eastAsia="仿宋_GB2312" w:cs="仿宋_GB2312"/>
          <w:b/>
          <w:bCs/>
          <w:color w:val="auto"/>
          <w:kern w:val="2"/>
          <w:sz w:val="32"/>
          <w:szCs w:val="32"/>
          <w:highlight w:val="none"/>
          <w:lang w:val="en-US" w:eastAsia="zh-CN" w:bidi="ar-SA"/>
        </w:rPr>
        <w:t>本章采购要求中的条款为本次采购项目的实质性要求，供应商应全部满足，否则视为响应</w:t>
      </w:r>
      <w:bookmarkStart w:id="0" w:name="_GoBack"/>
      <w:bookmarkEnd w:id="0"/>
      <w:r>
        <w:rPr>
          <w:rFonts w:hint="eastAsia" w:ascii="仿宋_GB2312" w:hAnsi="仿宋_GB2312" w:eastAsia="仿宋_GB2312" w:cs="仿宋_GB2312"/>
          <w:b/>
          <w:bCs/>
          <w:color w:val="auto"/>
          <w:kern w:val="2"/>
          <w:sz w:val="32"/>
          <w:szCs w:val="32"/>
          <w:highlight w:val="none"/>
          <w:lang w:val="en-US" w:eastAsia="zh-CN" w:bidi="ar-SA"/>
        </w:rPr>
        <w:t>文件无效。</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A3EF5D6-A011-483A-B79D-8A6EB804618E}"/>
  </w:font>
  <w:font w:name="黑体">
    <w:altName w:val="宋体"/>
    <w:panose1 w:val="02010609060101010101"/>
    <w:charset w:val="86"/>
    <w:family w:val="auto"/>
    <w:pitch w:val="default"/>
    <w:sig w:usb0="800002BF" w:usb1="38CF7CFA" w:usb2="00000016" w:usb3="00000000" w:csb0="00040001" w:csb1="00000000"/>
    <w:embedRegular r:id="rId2" w:fontKey="{45013F4D-2B25-4822-AE18-74DB61B918F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embedRegular r:id="rId3" w:fontKey="{894C4254-1925-45EF-8108-B3F1BD2E1643}"/>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4" w:fontKey="{3C0F3215-B765-47C5-B088-F8F12FF8C8D7}"/>
  </w:font>
  <w:font w:name="Arial Unicode MS">
    <w:panose1 w:val="020B0604020202020204"/>
    <w:charset w:val="86"/>
    <w:family w:val="auto"/>
    <w:pitch w:val="default"/>
    <w:sig w:usb0="FFFFFFFF" w:usb1="E9FFFFFF" w:usb2="0000003F" w:usb3="00000000" w:csb0="603F01FF" w:csb1="FFFF0000"/>
    <w:embedRegular r:id="rId5" w:fontKey="{3027B5C2-59AD-43B4-B8E2-233D58EFDDF3}"/>
  </w:font>
  <w:font w:name="仿宋_GB2312">
    <w:altName w:val="仿宋"/>
    <w:panose1 w:val="02010609030101010101"/>
    <w:charset w:val="86"/>
    <w:family w:val="auto"/>
    <w:pitch w:val="default"/>
    <w:sig w:usb0="00000000" w:usb1="00000000" w:usb2="00000000" w:usb3="00000000" w:csb0="00040000" w:csb1="00000000"/>
    <w:embedRegular r:id="rId6" w:fontKey="{54FF4815-A652-40DB-A9F3-C4B8F0CED0C4}"/>
  </w:font>
  <w:font w:name="仿宋">
    <w:panose1 w:val="02010609060101010101"/>
    <w:charset w:val="86"/>
    <w:family w:val="auto"/>
    <w:pitch w:val="default"/>
    <w:sig w:usb0="800002BF" w:usb1="38CF7CFA" w:usb2="00000016" w:usb3="00000000" w:csb0="00040001" w:csb1="00000000"/>
  </w:font>
  <w:font w:name="WPSEMBED1">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2185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23BA1C">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23BA1C">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bullet"/>
      <w:pStyle w:val="16"/>
      <w:lvlText w:val="-"/>
      <w:lvlJc w:val="left"/>
      <w:pPr>
        <w:tabs>
          <w:tab w:val="left" w:pos="785"/>
        </w:tabs>
        <w:ind w:left="420" w:firstLine="5"/>
      </w:pPr>
      <w:rPr>
        <w:rFonts w:hint="eastAsia" w:ascii="宋体" w:hAnsi="Wingdings" w:eastAsia="宋体"/>
      </w:rPr>
    </w:lvl>
    <w:lvl w:ilvl="1" w:tentative="0">
      <w:start w:val="1"/>
      <w:numFmt w:val="bullet"/>
      <w:lvlText w:val=""/>
      <w:lvlJc w:val="left"/>
      <w:pPr>
        <w:tabs>
          <w:tab w:val="left" w:pos="3360"/>
        </w:tabs>
        <w:ind w:left="3360" w:hanging="420"/>
      </w:pPr>
      <w:rPr>
        <w:rFonts w:hint="default" w:ascii="Wingdings" w:hAnsi="Wingdings"/>
      </w:rPr>
    </w:lvl>
    <w:lvl w:ilvl="2" w:tentative="0">
      <w:start w:val="1"/>
      <w:numFmt w:val="bullet"/>
      <w:lvlText w:val=""/>
      <w:lvlJc w:val="left"/>
      <w:pPr>
        <w:tabs>
          <w:tab w:val="left" w:pos="3780"/>
        </w:tabs>
        <w:ind w:left="3780" w:hanging="420"/>
      </w:pPr>
      <w:rPr>
        <w:rFonts w:hint="default" w:ascii="Wingdings" w:hAnsi="Wingdings"/>
      </w:rPr>
    </w:lvl>
    <w:lvl w:ilvl="3" w:tentative="0">
      <w:start w:val="1"/>
      <w:numFmt w:val="bullet"/>
      <w:lvlText w:val=""/>
      <w:lvlJc w:val="left"/>
      <w:pPr>
        <w:tabs>
          <w:tab w:val="left" w:pos="4200"/>
        </w:tabs>
        <w:ind w:left="4200" w:hanging="420"/>
      </w:pPr>
      <w:rPr>
        <w:rFonts w:hint="default" w:ascii="Wingdings" w:hAnsi="Wingdings"/>
      </w:rPr>
    </w:lvl>
    <w:lvl w:ilvl="4" w:tentative="0">
      <w:start w:val="1"/>
      <w:numFmt w:val="bullet"/>
      <w:lvlText w:val=""/>
      <w:lvlJc w:val="left"/>
      <w:pPr>
        <w:tabs>
          <w:tab w:val="left" w:pos="4620"/>
        </w:tabs>
        <w:ind w:left="4620" w:hanging="420"/>
      </w:pPr>
      <w:rPr>
        <w:rFonts w:hint="default" w:ascii="Wingdings" w:hAnsi="Wingdings"/>
      </w:rPr>
    </w:lvl>
    <w:lvl w:ilvl="5" w:tentative="0">
      <w:start w:val="1"/>
      <w:numFmt w:val="bullet"/>
      <w:lvlText w:val=""/>
      <w:lvlJc w:val="left"/>
      <w:pPr>
        <w:tabs>
          <w:tab w:val="left" w:pos="5040"/>
        </w:tabs>
        <w:ind w:left="5040" w:hanging="420"/>
      </w:pPr>
      <w:rPr>
        <w:rFonts w:hint="default" w:ascii="Wingdings" w:hAnsi="Wingdings"/>
      </w:rPr>
    </w:lvl>
    <w:lvl w:ilvl="6" w:tentative="0">
      <w:start w:val="1"/>
      <w:numFmt w:val="bullet"/>
      <w:lvlText w:val=""/>
      <w:lvlJc w:val="left"/>
      <w:pPr>
        <w:tabs>
          <w:tab w:val="left" w:pos="5460"/>
        </w:tabs>
        <w:ind w:left="5460" w:hanging="420"/>
      </w:pPr>
      <w:rPr>
        <w:rFonts w:hint="default" w:ascii="Wingdings" w:hAnsi="Wingdings"/>
      </w:rPr>
    </w:lvl>
    <w:lvl w:ilvl="7" w:tentative="0">
      <w:start w:val="1"/>
      <w:numFmt w:val="bullet"/>
      <w:lvlText w:val=""/>
      <w:lvlJc w:val="left"/>
      <w:pPr>
        <w:tabs>
          <w:tab w:val="left" w:pos="5880"/>
        </w:tabs>
        <w:ind w:left="5880" w:hanging="420"/>
      </w:pPr>
      <w:rPr>
        <w:rFonts w:hint="default" w:ascii="Wingdings" w:hAnsi="Wingdings"/>
      </w:rPr>
    </w:lvl>
    <w:lvl w:ilvl="8" w:tentative="0">
      <w:start w:val="1"/>
      <w:numFmt w:val="bullet"/>
      <w:lvlText w:val=""/>
      <w:lvlJc w:val="left"/>
      <w:pPr>
        <w:tabs>
          <w:tab w:val="left" w:pos="6300"/>
        </w:tabs>
        <w:ind w:left="63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NDk4N2M1NTliNmJjMDJlZDljYjE3OGU5YzM1ZTkifQ=="/>
  </w:docVars>
  <w:rsids>
    <w:rsidRoot w:val="797A28EE"/>
    <w:rsid w:val="048D4113"/>
    <w:rsid w:val="08BA1ECD"/>
    <w:rsid w:val="0B442625"/>
    <w:rsid w:val="0CE21123"/>
    <w:rsid w:val="0E542079"/>
    <w:rsid w:val="0EEA7E55"/>
    <w:rsid w:val="16962931"/>
    <w:rsid w:val="17750CA3"/>
    <w:rsid w:val="1A17118B"/>
    <w:rsid w:val="1C2B7D21"/>
    <w:rsid w:val="1C3500A0"/>
    <w:rsid w:val="1D1135A6"/>
    <w:rsid w:val="1D5F2712"/>
    <w:rsid w:val="20CE0ED9"/>
    <w:rsid w:val="241D03D1"/>
    <w:rsid w:val="24776234"/>
    <w:rsid w:val="27F02ECD"/>
    <w:rsid w:val="29AA6040"/>
    <w:rsid w:val="29BB1C64"/>
    <w:rsid w:val="2C463FDB"/>
    <w:rsid w:val="2EF67B70"/>
    <w:rsid w:val="311B7355"/>
    <w:rsid w:val="34382FF1"/>
    <w:rsid w:val="353D596D"/>
    <w:rsid w:val="3704274F"/>
    <w:rsid w:val="37EE7B0E"/>
    <w:rsid w:val="3A37597E"/>
    <w:rsid w:val="3D3B655D"/>
    <w:rsid w:val="40D276CD"/>
    <w:rsid w:val="417664B6"/>
    <w:rsid w:val="466B2BA2"/>
    <w:rsid w:val="4E552276"/>
    <w:rsid w:val="4E8C4B89"/>
    <w:rsid w:val="518C0653"/>
    <w:rsid w:val="55063FDD"/>
    <w:rsid w:val="58FB735E"/>
    <w:rsid w:val="59627A81"/>
    <w:rsid w:val="64F5163D"/>
    <w:rsid w:val="713169C7"/>
    <w:rsid w:val="7246077D"/>
    <w:rsid w:val="72717AF6"/>
    <w:rsid w:val="72FC1993"/>
    <w:rsid w:val="734C56DF"/>
    <w:rsid w:val="73EE02CC"/>
    <w:rsid w:val="74B21027"/>
    <w:rsid w:val="797A28EE"/>
    <w:rsid w:val="7B7B75DA"/>
    <w:rsid w:val="7BDA6192"/>
    <w:rsid w:val="7FDF7CB5"/>
    <w:rsid w:val="DDFBD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Body Text Indent"/>
    <w:basedOn w:val="1"/>
    <w:qFormat/>
    <w:uiPriority w:val="0"/>
    <w:pPr>
      <w:ind w:firstLine="538" w:firstLineChars="192"/>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2"/>
    <w:unhideWhenUsed/>
    <w:qFormat/>
    <w:uiPriority w:val="99"/>
    <w:pPr>
      <w:ind w:firstLine="420" w:firstLineChars="100"/>
    </w:pPr>
  </w:style>
  <w:style w:type="paragraph" w:styleId="9">
    <w:name w:val="Body Text First Indent 2"/>
    <w:basedOn w:val="5"/>
    <w:qFormat/>
    <w:uiPriority w:val="0"/>
    <w:pPr>
      <w:spacing w:after="120"/>
      <w:ind w:left="420" w:leftChars="200" w:firstLine="420" w:firstLineChars="200"/>
    </w:pPr>
    <w:rPr>
      <w:rFonts w:ascii="Calibri" w:hAnsi="Calibri" w:eastAsia="宋体" w:cs="Times New Roman"/>
      <w:sz w:val="21"/>
      <w:szCs w:val="21"/>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14">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5">
    <w:name w:val="U_正文2"/>
    <w:basedOn w:val="1"/>
    <w:qFormat/>
    <w:uiPriority w:val="0"/>
    <w:pPr>
      <w:spacing w:before="31" w:beforeLines="10" w:after="31" w:afterLines="10" w:line="300" w:lineRule="auto"/>
    </w:pPr>
    <w:rPr>
      <w:kern w:val="2"/>
      <w:sz w:val="24"/>
    </w:rPr>
  </w:style>
  <w:style w:type="paragraph" w:customStyle="1" w:styleId="16">
    <w:name w:val="U_编号2"/>
    <w:basedOn w:val="1"/>
    <w:qFormat/>
    <w:uiPriority w:val="0"/>
    <w:pPr>
      <w:numPr>
        <w:ilvl w:val="0"/>
        <w:numId w:val="1"/>
      </w:numPr>
      <w:spacing w:before="31" w:beforeLines="10" w:after="31" w:afterLines="10" w:line="300" w:lineRule="auto"/>
    </w:pPr>
    <w:rPr>
      <w:sz w:val="24"/>
      <w:szCs w:val="20"/>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styleId="18">
    <w:name w:val="Quote"/>
    <w:basedOn w:val="1"/>
    <w:next w:val="1"/>
    <w:qFormat/>
    <w:uiPriority w:val="0"/>
    <w:pPr>
      <w:ind w:left="864" w:right="864"/>
      <w:jc w:val="center"/>
    </w:pPr>
    <w:rPr>
      <w:i/>
      <w:color w:val="40404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2219</Words>
  <Characters>2667</Characters>
  <Lines>0</Lines>
  <Paragraphs>0</Paragraphs>
  <TotalTime>54</TotalTime>
  <ScaleCrop>false</ScaleCrop>
  <LinksUpToDate>false</LinksUpToDate>
  <CharactersWithSpaces>2737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2025-03-03T10:20:00Z</dcterms:created>
  <dc:creator>詹功强</dc:creator>
  <cp:lastModifiedBy>王旭</cp:lastModifiedBy>
  <cp:lastPrinted>2026-06-24T02:01:43Z</cp:lastPrinted>
  <dcterms:modified xsi:type="dcterms:W3CDTF">2026-06-24T02:01:47Z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717305EAF00548E39BBD39417A6C3EEF_13</vt:lpwstr>
  </property>
  <property fmtid="{D5CDD505-2E9C-101B-9397-08002B2CF9AE}" pid="4" name="KSOTemplateDocerSaveRecord">
    <vt:lpwstr>eyJoZGlkIjoiNzc5YTdkNjg0NGZhYmEyZGM3NmJiMTM5NzBmY2RmNDAiLCJ1c2VySWQiOiIxNjUxMjY5MTU1In0=</vt:lpwstr>
  </property>
</Properties>
</file>