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507D0">
      <w:pPr>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附件1：</w:t>
      </w:r>
    </w:p>
    <w:p w14:paraId="0DCDFC6F">
      <w:pPr>
        <w:jc w:val="center"/>
        <w:rPr>
          <w:rFonts w:hint="eastAsia" w:ascii="黑体" w:hAnsi="黑体" w:eastAsia="黑体" w:cs="黑体"/>
          <w:i w:val="0"/>
          <w:iCs w:val="0"/>
          <w:caps w:val="0"/>
          <w:color w:val="000000"/>
          <w:spacing w:val="0"/>
          <w:sz w:val="44"/>
          <w:szCs w:val="44"/>
          <w:shd w:val="clear" w:fill="FFFFFF"/>
          <w:vertAlign w:val="baseline"/>
          <w:lang w:val="en-US" w:eastAsia="zh-CN"/>
        </w:rPr>
      </w:pPr>
    </w:p>
    <w:p w14:paraId="3694B581">
      <w:pPr>
        <w:jc w:val="center"/>
        <w:rPr>
          <w:rFonts w:hint="eastAsia" w:ascii="方正小标宋简体" w:hAnsi="方正小标宋简体" w:eastAsia="方正小标宋简体" w:cs="方正小标宋简体"/>
          <w:color w:val="000000"/>
          <w:kern w:val="0"/>
          <w:sz w:val="44"/>
          <w:szCs w:val="44"/>
          <w:vertAlign w:val="baseline"/>
          <w:lang w:val="en-US" w:eastAsia="zh-CN" w:bidi="ar-SA"/>
        </w:rPr>
      </w:pPr>
      <w:r>
        <w:rPr>
          <w:rFonts w:hint="eastAsia" w:ascii="方正小标宋简体" w:hAnsi="方正小标宋简体" w:eastAsia="方正小标宋简体" w:cs="方正小标宋简体"/>
          <w:sz w:val="44"/>
          <w:szCs w:val="44"/>
          <w:lang w:val="en-US" w:eastAsia="zh-CN"/>
        </w:rPr>
        <w:t>采 购 要 求</w:t>
      </w:r>
    </w:p>
    <w:p w14:paraId="03F0BEDE">
      <w:pPr>
        <w:pStyle w:val="12"/>
        <w:numPr>
          <w:ilvl w:val="0"/>
          <w:numId w:val="0"/>
        </w:numPr>
        <w:ind w:firstLine="562" w:firstLineChars="200"/>
        <w:jc w:val="both"/>
        <w:rPr>
          <w:rFonts w:hint="eastAsia" w:ascii="方正仿宋_GB2312" w:hAnsi="方正仿宋_GB2312" w:eastAsia="方正仿宋_GB2312" w:cs="方正仿宋_GB2312"/>
          <w:b/>
          <w:bCs/>
          <w:color w:val="000000"/>
          <w:kern w:val="0"/>
          <w:sz w:val="28"/>
          <w:szCs w:val="28"/>
          <w:vertAlign w:val="baseline"/>
          <w:lang w:val="en-US" w:eastAsia="zh-CN" w:bidi="ar-SA"/>
        </w:rPr>
      </w:pPr>
    </w:p>
    <w:p w14:paraId="6DD60D17">
      <w:pPr>
        <w:pStyle w:val="12"/>
        <w:numPr>
          <w:ilvl w:val="0"/>
          <w:numId w:val="0"/>
        </w:numPr>
        <w:ind w:firstLine="562" w:firstLineChars="200"/>
        <w:jc w:val="both"/>
        <w:rPr>
          <w:rFonts w:hint="eastAsia" w:ascii="方正仿宋_GB2312" w:hAnsi="方正仿宋_GB2312" w:eastAsia="方正仿宋_GB2312" w:cs="方正仿宋_GB2312"/>
          <w:b/>
          <w:bCs/>
          <w:color w:val="000000"/>
          <w:kern w:val="0"/>
          <w:sz w:val="28"/>
          <w:szCs w:val="28"/>
          <w:vertAlign w:val="baseline"/>
          <w:lang w:val="en-US" w:eastAsia="zh-CN" w:bidi="ar-SA"/>
        </w:rPr>
      </w:pPr>
      <w:r>
        <w:rPr>
          <w:rFonts w:hint="eastAsia" w:ascii="方正仿宋_GB2312" w:hAnsi="方正仿宋_GB2312" w:eastAsia="方正仿宋_GB2312" w:cs="方正仿宋_GB2312"/>
          <w:b/>
          <w:bCs/>
          <w:color w:val="000000"/>
          <w:kern w:val="0"/>
          <w:sz w:val="28"/>
          <w:szCs w:val="28"/>
          <w:vertAlign w:val="baseline"/>
          <w:lang w:val="en-US" w:eastAsia="zh-CN" w:bidi="ar-SA"/>
        </w:rPr>
        <w:t>一、供应商资质</w:t>
      </w:r>
    </w:p>
    <w:p w14:paraId="3C8D6E2B">
      <w:pPr>
        <w:keepNext w:val="0"/>
        <w:keepLines w:val="0"/>
        <w:pageBreakBefore w:val="0"/>
        <w:widowControl/>
        <w:numPr>
          <w:ilvl w:val="0"/>
          <w:numId w:val="0"/>
        </w:numPr>
        <w:kinsoku/>
        <w:wordWrap/>
        <w:overflowPunct/>
        <w:topLinePunct w:val="0"/>
        <w:autoSpaceDE/>
        <w:autoSpaceDN/>
        <w:bidi w:val="0"/>
        <w:snapToGrid/>
        <w:spacing w:after="0" w:afterLines="0" w:line="360" w:lineRule="auto"/>
        <w:ind w:right="-1" w:rightChars="0"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具有独立承担民事责任的能力</w:t>
      </w:r>
      <w:r>
        <w:rPr>
          <w:rFonts w:hint="eastAsia" w:ascii="仿宋_GB2312" w:hAnsi="仿宋_GB2312" w:eastAsia="仿宋_GB2312" w:cs="仿宋_GB2312"/>
          <w:bCs/>
          <w:sz w:val="28"/>
          <w:szCs w:val="28"/>
          <w:lang w:eastAsia="zh-CN"/>
        </w:rPr>
        <w:t>（提供承诺函）</w:t>
      </w:r>
      <w:r>
        <w:rPr>
          <w:rFonts w:hint="eastAsia" w:ascii="仿宋_GB2312" w:hAnsi="仿宋_GB2312" w:eastAsia="仿宋_GB2312" w:cs="仿宋_GB2312"/>
          <w:bCs/>
          <w:sz w:val="28"/>
          <w:szCs w:val="28"/>
        </w:rPr>
        <w:t>。</w:t>
      </w:r>
    </w:p>
    <w:p w14:paraId="6847F63E">
      <w:pPr>
        <w:keepNext w:val="0"/>
        <w:keepLines w:val="0"/>
        <w:pageBreakBefore w:val="0"/>
        <w:widowControl/>
        <w:numPr>
          <w:ilvl w:val="0"/>
          <w:numId w:val="0"/>
        </w:numPr>
        <w:kinsoku/>
        <w:wordWrap/>
        <w:overflowPunct/>
        <w:topLinePunct w:val="0"/>
        <w:autoSpaceDE/>
        <w:autoSpaceDN/>
        <w:bidi w:val="0"/>
        <w:snapToGrid/>
        <w:spacing w:after="0" w:afterLines="0" w:line="360" w:lineRule="auto"/>
        <w:ind w:right="-1" w:rightChars="0"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具有良好的商业信誉和健全的财务会计制度</w:t>
      </w:r>
      <w:r>
        <w:rPr>
          <w:rFonts w:hint="eastAsia" w:ascii="仿宋_GB2312" w:hAnsi="仿宋_GB2312" w:eastAsia="仿宋_GB2312" w:cs="仿宋_GB2312"/>
          <w:bCs/>
          <w:sz w:val="28"/>
          <w:szCs w:val="28"/>
          <w:lang w:eastAsia="zh-CN"/>
        </w:rPr>
        <w:t>（提供承诺函）</w:t>
      </w:r>
      <w:r>
        <w:rPr>
          <w:rFonts w:hint="eastAsia" w:ascii="仿宋_GB2312" w:hAnsi="仿宋_GB2312" w:eastAsia="仿宋_GB2312" w:cs="仿宋_GB2312"/>
          <w:bCs/>
          <w:sz w:val="28"/>
          <w:szCs w:val="28"/>
        </w:rPr>
        <w:t>。</w:t>
      </w:r>
    </w:p>
    <w:p w14:paraId="59D5023D">
      <w:pPr>
        <w:keepNext w:val="0"/>
        <w:keepLines w:val="0"/>
        <w:pageBreakBefore w:val="0"/>
        <w:widowControl/>
        <w:numPr>
          <w:ilvl w:val="0"/>
          <w:numId w:val="0"/>
        </w:numPr>
        <w:kinsoku/>
        <w:wordWrap/>
        <w:overflowPunct/>
        <w:topLinePunct w:val="0"/>
        <w:autoSpaceDE/>
        <w:autoSpaceDN/>
        <w:bidi w:val="0"/>
        <w:snapToGrid/>
        <w:spacing w:after="0" w:afterLines="0" w:line="360" w:lineRule="auto"/>
        <w:ind w:right="-1" w:rightChars="0"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w:t>
      </w:r>
      <w:r>
        <w:rPr>
          <w:rFonts w:hint="eastAsia" w:ascii="仿宋_GB2312" w:hAnsi="仿宋_GB2312" w:eastAsia="仿宋_GB2312" w:cs="仿宋_GB2312"/>
          <w:bCs/>
          <w:sz w:val="28"/>
          <w:szCs w:val="28"/>
          <w:lang w:eastAsia="zh-CN"/>
        </w:rPr>
        <w:t>.</w:t>
      </w:r>
      <w:r>
        <w:rPr>
          <w:rFonts w:hint="eastAsia" w:ascii="方正仿宋_GB2312" w:hAnsi="方正仿宋_GB2312" w:eastAsia="方正仿宋_GB2312" w:cs="方正仿宋_GB2312"/>
          <w:sz w:val="28"/>
          <w:szCs w:val="28"/>
        </w:rPr>
        <w:t>具有履行合同所必需的设备和专业技术能力</w:t>
      </w:r>
      <w:r>
        <w:rPr>
          <w:rFonts w:hint="eastAsia" w:ascii="仿宋_GB2312" w:hAnsi="仿宋_GB2312" w:eastAsia="仿宋_GB2312" w:cs="仿宋_GB2312"/>
          <w:bCs/>
          <w:sz w:val="28"/>
          <w:szCs w:val="28"/>
          <w:lang w:eastAsia="zh-CN"/>
        </w:rPr>
        <w:t>（提供营业执照）</w:t>
      </w:r>
      <w:r>
        <w:rPr>
          <w:rFonts w:hint="eastAsia" w:ascii="仿宋_GB2312" w:hAnsi="仿宋_GB2312" w:eastAsia="仿宋_GB2312" w:cs="仿宋_GB2312"/>
          <w:bCs/>
          <w:sz w:val="28"/>
          <w:szCs w:val="28"/>
        </w:rPr>
        <w:t>。</w:t>
      </w:r>
    </w:p>
    <w:p w14:paraId="09EA0F4B">
      <w:pPr>
        <w:keepNext w:val="0"/>
        <w:keepLines w:val="0"/>
        <w:pageBreakBefore w:val="0"/>
        <w:widowControl/>
        <w:numPr>
          <w:ilvl w:val="0"/>
          <w:numId w:val="0"/>
        </w:numPr>
        <w:kinsoku/>
        <w:wordWrap/>
        <w:overflowPunct/>
        <w:topLinePunct w:val="0"/>
        <w:autoSpaceDE/>
        <w:autoSpaceDN/>
        <w:bidi w:val="0"/>
        <w:snapToGrid/>
        <w:spacing w:after="0" w:afterLines="0" w:line="360" w:lineRule="auto"/>
        <w:ind w:right="-1" w:rightChars="0"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参加本次</w:t>
      </w:r>
      <w:r>
        <w:rPr>
          <w:rFonts w:hint="eastAsia" w:ascii="仿宋_GB2312" w:hAnsi="仿宋_GB2312" w:eastAsia="仿宋_GB2312" w:cs="仿宋_GB2312"/>
          <w:bCs/>
          <w:sz w:val="28"/>
          <w:szCs w:val="28"/>
          <w:lang w:val="en-US" w:eastAsia="zh-CN"/>
        </w:rPr>
        <w:t>比价</w:t>
      </w:r>
      <w:r>
        <w:rPr>
          <w:rFonts w:hint="eastAsia" w:ascii="仿宋_GB2312" w:hAnsi="仿宋_GB2312" w:eastAsia="仿宋_GB2312" w:cs="仿宋_GB2312"/>
          <w:bCs/>
          <w:sz w:val="28"/>
          <w:szCs w:val="28"/>
        </w:rPr>
        <w:t>活动前三年内，在经营活动中没有重大违法记录</w:t>
      </w:r>
      <w:r>
        <w:rPr>
          <w:rFonts w:hint="eastAsia" w:ascii="仿宋_GB2312" w:hAnsi="仿宋_GB2312" w:eastAsia="仿宋_GB2312" w:cs="仿宋_GB2312"/>
          <w:bCs/>
          <w:sz w:val="28"/>
          <w:szCs w:val="28"/>
          <w:lang w:eastAsia="zh-CN"/>
        </w:rPr>
        <w:t>（提供承诺函）</w:t>
      </w:r>
      <w:r>
        <w:rPr>
          <w:rFonts w:hint="eastAsia" w:ascii="仿宋_GB2312" w:hAnsi="仿宋_GB2312" w:eastAsia="仿宋_GB2312" w:cs="仿宋_GB2312"/>
          <w:bCs/>
          <w:sz w:val="28"/>
          <w:szCs w:val="28"/>
        </w:rPr>
        <w:t>。</w:t>
      </w:r>
    </w:p>
    <w:p w14:paraId="20C5FD1E">
      <w:pPr>
        <w:pStyle w:val="12"/>
        <w:ind w:firstLine="560" w:firstLineChars="200"/>
        <w:rPr>
          <w:rFonts w:hint="default" w:eastAsia="仿宋_GB2312"/>
          <w:sz w:val="28"/>
          <w:szCs w:val="28"/>
          <w:lang w:val="en-US" w:eastAsia="zh-CN"/>
        </w:rPr>
      </w:pPr>
      <w:r>
        <w:rPr>
          <w:rFonts w:hint="eastAsia" w:ascii="仿宋_GB2312" w:hAnsi="仿宋_GB2312" w:eastAsia="仿宋_GB2312" w:cs="仿宋_GB2312"/>
          <w:bCs/>
          <w:sz w:val="28"/>
          <w:szCs w:val="28"/>
          <w:lang w:val="en-US" w:eastAsia="zh-CN"/>
        </w:rPr>
        <w:t>5.</w:t>
      </w:r>
      <w:r>
        <w:rPr>
          <w:rFonts w:hint="eastAsia" w:ascii="方正仿宋_GB2312" w:hAnsi="方正仿宋_GB2312" w:eastAsia="方正仿宋_GB2312" w:cs="方正仿宋_GB2312"/>
          <w:color w:val="auto"/>
          <w:sz w:val="28"/>
          <w:szCs w:val="28"/>
          <w:highlight w:val="none"/>
          <w:lang w:eastAsia="zh-CN"/>
        </w:rPr>
        <w:t>本项目不接受联合体参与比选；</w:t>
      </w:r>
    </w:p>
    <w:p w14:paraId="183613E9">
      <w:pPr>
        <w:pStyle w:val="8"/>
        <w:ind w:left="0" w:leftChars="0" w:firstLine="0" w:firstLineChars="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
          <w:bCs w:val="0"/>
          <w:sz w:val="28"/>
          <w:szCs w:val="28"/>
          <w:lang w:val="en-US" w:eastAsia="zh-CN"/>
        </w:rPr>
        <w:t>注：上述资料均加盖公司鲜章。</w:t>
      </w:r>
    </w:p>
    <w:tbl>
      <w:tblPr>
        <w:tblStyle w:val="9"/>
        <w:tblpPr w:leftFromText="180" w:rightFromText="180" w:vertAnchor="text" w:horzAnchor="page" w:tblpX="1761" w:tblpY="625"/>
        <w:tblOverlap w:val="never"/>
        <w:tblW w:w="8276" w:type="dxa"/>
        <w:tblInd w:w="0" w:type="dxa"/>
        <w:tblLayout w:type="fixed"/>
        <w:tblCellMar>
          <w:top w:w="0" w:type="dxa"/>
          <w:left w:w="108" w:type="dxa"/>
          <w:bottom w:w="0" w:type="dxa"/>
          <w:right w:w="108" w:type="dxa"/>
        </w:tblCellMar>
      </w:tblPr>
      <w:tblGrid>
        <w:gridCol w:w="1130"/>
        <w:gridCol w:w="2073"/>
        <w:gridCol w:w="1350"/>
        <w:gridCol w:w="1323"/>
        <w:gridCol w:w="2400"/>
      </w:tblGrid>
      <w:tr w14:paraId="1E0C7AE8">
        <w:tblPrEx>
          <w:tblCellMar>
            <w:top w:w="0" w:type="dxa"/>
            <w:left w:w="108" w:type="dxa"/>
            <w:bottom w:w="0" w:type="dxa"/>
            <w:right w:w="108" w:type="dxa"/>
          </w:tblCellMar>
        </w:tblPrEx>
        <w:trPr>
          <w:cantSplit/>
          <w:trHeight w:val="609" w:hRule="atLeast"/>
          <w:tblHeader/>
        </w:trPr>
        <w:tc>
          <w:tcPr>
            <w:tcW w:w="1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7D043DC">
            <w:pPr>
              <w:jc w:val="center"/>
              <w:rPr>
                <w:rFonts w:hint="eastAsia"/>
                <w:b/>
                <w:bCs/>
                <w:lang w:eastAsia="zh-CN"/>
              </w:rPr>
            </w:pPr>
            <w:r>
              <w:rPr>
                <w:rFonts w:hint="eastAsia"/>
                <w:b/>
                <w:bCs/>
                <w:lang w:eastAsia="zh-CN"/>
              </w:rPr>
              <w:t>名称</w:t>
            </w:r>
          </w:p>
        </w:tc>
        <w:tc>
          <w:tcPr>
            <w:tcW w:w="20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E80E269">
            <w:pPr>
              <w:jc w:val="center"/>
              <w:rPr>
                <w:rFonts w:hint="eastAsia"/>
                <w:b/>
                <w:bCs/>
                <w:lang w:eastAsia="zh-CN"/>
              </w:rPr>
            </w:pPr>
            <w:r>
              <w:rPr>
                <w:rFonts w:hint="eastAsia"/>
                <w:b/>
                <w:bCs/>
                <w:lang w:eastAsia="zh-CN"/>
              </w:rPr>
              <w:t>规格型号</w:t>
            </w:r>
          </w:p>
        </w:tc>
        <w:tc>
          <w:tcPr>
            <w:tcW w:w="1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D8E2AC7">
            <w:pPr>
              <w:jc w:val="center"/>
              <w:rPr>
                <w:rFonts w:hint="eastAsia"/>
                <w:b/>
                <w:bCs/>
                <w:lang w:eastAsia="zh-CN"/>
              </w:rPr>
            </w:pPr>
            <w:r>
              <w:rPr>
                <w:rFonts w:hint="eastAsia"/>
                <w:b/>
                <w:bCs/>
                <w:lang w:eastAsia="zh-CN"/>
              </w:rPr>
              <w:t>数量（㎡）</w:t>
            </w:r>
          </w:p>
        </w:tc>
        <w:tc>
          <w:tcPr>
            <w:tcW w:w="13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C42C8B5">
            <w:pPr>
              <w:jc w:val="center"/>
              <w:rPr>
                <w:rFonts w:hint="eastAsia"/>
                <w:b/>
                <w:bCs/>
                <w:lang w:eastAsia="zh-CN"/>
              </w:rPr>
            </w:pPr>
            <w:r>
              <w:rPr>
                <w:rFonts w:hint="eastAsia"/>
                <w:b/>
                <w:bCs/>
                <w:lang w:eastAsia="zh-CN"/>
              </w:rPr>
              <w:t>材质要求</w:t>
            </w:r>
          </w:p>
        </w:tc>
        <w:tc>
          <w:tcPr>
            <w:tcW w:w="24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2FBF63D">
            <w:pPr>
              <w:jc w:val="center"/>
              <w:rPr>
                <w:rFonts w:hint="eastAsia"/>
                <w:b/>
                <w:bCs/>
                <w:lang w:eastAsia="zh-CN"/>
              </w:rPr>
            </w:pPr>
            <w:r>
              <w:rPr>
                <w:rFonts w:hint="eastAsia"/>
                <w:b/>
                <w:bCs/>
                <w:lang w:eastAsia="zh-CN"/>
              </w:rPr>
              <w:t>图片示例</w:t>
            </w:r>
          </w:p>
        </w:tc>
      </w:tr>
      <w:tr w14:paraId="47391303">
        <w:tblPrEx>
          <w:tblCellMar>
            <w:top w:w="0" w:type="dxa"/>
            <w:left w:w="108" w:type="dxa"/>
            <w:bottom w:w="0" w:type="dxa"/>
            <w:right w:w="108" w:type="dxa"/>
          </w:tblCellMar>
        </w:tblPrEx>
        <w:trPr>
          <w:cantSplit/>
          <w:trHeight w:val="609" w:hRule="atLeast"/>
          <w:tblHeader/>
        </w:trPr>
        <w:tc>
          <w:tcPr>
            <w:tcW w:w="1130"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35EFE004">
            <w:pPr>
              <w:jc w:val="center"/>
              <w:rPr>
                <w:rFonts w:hint="eastAsia"/>
                <w:lang w:eastAsia="zh-CN"/>
              </w:rPr>
            </w:pPr>
            <w:r>
              <w:rPr>
                <w:rFonts w:hint="eastAsia"/>
                <w:lang w:eastAsia="zh-CN"/>
              </w:rPr>
              <w:t>配药柜</w:t>
            </w:r>
          </w:p>
        </w:tc>
        <w:tc>
          <w:tcPr>
            <w:tcW w:w="2073"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400B23EB">
            <w:pPr>
              <w:rPr>
                <w:rFonts w:hint="default"/>
                <w:lang w:val="en-US" w:eastAsia="zh-CN"/>
              </w:rPr>
            </w:pPr>
            <w:r>
              <w:rPr>
                <w:rFonts w:hint="eastAsia"/>
                <w:lang w:val="en-US" w:eastAsia="zh-CN"/>
              </w:rPr>
              <w:t>2595*350/600*2000</w:t>
            </w:r>
          </w:p>
        </w:tc>
        <w:tc>
          <w:tcPr>
            <w:tcW w:w="1350"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69628365">
            <w:pPr>
              <w:jc w:val="center"/>
              <w:rPr>
                <w:rFonts w:hint="default"/>
                <w:lang w:val="en-US" w:eastAsia="zh-CN"/>
              </w:rPr>
            </w:pPr>
            <w:r>
              <w:rPr>
                <w:rFonts w:hint="eastAsia"/>
                <w:lang w:val="en-US" w:eastAsia="zh-CN"/>
              </w:rPr>
              <w:t>5.19</w:t>
            </w:r>
          </w:p>
        </w:tc>
        <w:tc>
          <w:tcPr>
            <w:tcW w:w="1323" w:type="dxa"/>
            <w:vMerge w:val="restart"/>
            <w:tcBorders>
              <w:top w:val="single" w:color="auto" w:sz="4" w:space="0"/>
              <w:left w:val="single" w:color="auto" w:sz="4" w:space="0"/>
              <w:right w:val="single" w:color="auto" w:sz="4" w:space="0"/>
            </w:tcBorders>
            <w:shd w:val="clear" w:color="FFFFFF" w:fill="auto"/>
            <w:tcMar>
              <w:top w:w="0" w:type="dxa"/>
              <w:left w:w="108" w:type="dxa"/>
              <w:bottom w:w="0" w:type="dxa"/>
              <w:right w:w="108" w:type="dxa"/>
            </w:tcMar>
            <w:vAlign w:val="center"/>
          </w:tcPr>
          <w:p w14:paraId="6B9F2D15">
            <w:pPr>
              <w:rPr>
                <w:rFonts w:hint="eastAsia"/>
                <w:lang w:eastAsia="zh-CN"/>
              </w:rPr>
            </w:pPr>
            <w:r>
              <w:rPr>
                <w:rFonts w:hint="eastAsia"/>
                <w:lang w:eastAsia="zh-CN"/>
              </w:rPr>
              <w:t>柜体电解板材质，台面抗油污大理石</w:t>
            </w:r>
          </w:p>
          <w:p w14:paraId="1F04314D">
            <w:pPr>
              <w:rPr>
                <w:rFonts w:hint="eastAsia"/>
                <w:lang w:val="en-US" w:eastAsia="zh-CN"/>
              </w:rPr>
            </w:pPr>
          </w:p>
          <w:p w14:paraId="22B2C570">
            <w:pPr>
              <w:rPr>
                <w:rFonts w:hint="eastAsia"/>
                <w:lang w:val="en-US" w:eastAsia="zh-CN"/>
              </w:rPr>
            </w:pPr>
          </w:p>
          <w:p w14:paraId="47DC57E2">
            <w:pPr>
              <w:rPr>
                <w:rFonts w:hint="eastAsia"/>
                <w:lang w:val="en-US" w:eastAsia="zh-CN"/>
              </w:rPr>
            </w:pPr>
          </w:p>
          <w:p w14:paraId="565787B4">
            <w:pPr>
              <w:rPr>
                <w:rFonts w:hint="eastAsia"/>
                <w:lang w:val="en-US" w:eastAsia="zh-CN"/>
              </w:rPr>
            </w:pPr>
          </w:p>
        </w:tc>
        <w:tc>
          <w:tcPr>
            <w:tcW w:w="2400"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14ECA74F">
            <w:pPr>
              <w:rPr>
                <w:rFonts w:hint="eastAsia"/>
                <w:lang w:val="en-US" w:eastAsia="zh-CN"/>
              </w:rPr>
            </w:pPr>
            <w:r>
              <w:rPr>
                <w:rFonts w:hint="eastAsia"/>
                <w:lang w:val="en-US" w:eastAsia="zh-CN"/>
              </w:rPr>
              <w:drawing>
                <wp:inline distT="0" distB="0" distL="114300" distR="114300">
                  <wp:extent cx="1276985" cy="746125"/>
                  <wp:effectExtent l="0" t="0" r="18415" b="15875"/>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7"/>
                          <a:stretch>
                            <a:fillRect/>
                          </a:stretch>
                        </pic:blipFill>
                        <pic:spPr>
                          <a:xfrm>
                            <a:off x="0" y="0"/>
                            <a:ext cx="1276985" cy="746125"/>
                          </a:xfrm>
                          <a:prstGeom prst="rect">
                            <a:avLst/>
                          </a:prstGeom>
                        </pic:spPr>
                      </pic:pic>
                    </a:graphicData>
                  </a:graphic>
                </wp:inline>
              </w:drawing>
            </w:r>
          </w:p>
          <w:p w14:paraId="108458D5">
            <w:pPr>
              <w:rPr>
                <w:rFonts w:hint="eastAsia"/>
                <w:lang w:val="en-US" w:eastAsia="zh-CN"/>
              </w:rPr>
            </w:pPr>
          </w:p>
          <w:p w14:paraId="2445D9D7">
            <w:pPr>
              <w:rPr>
                <w:rFonts w:hint="eastAsia"/>
                <w:lang w:val="en-US" w:eastAsia="zh-CN"/>
              </w:rPr>
            </w:pPr>
            <w:r>
              <w:rPr>
                <w:rFonts w:hint="eastAsia"/>
                <w:lang w:val="en-US" w:eastAsia="zh-CN"/>
              </w:rPr>
              <w:drawing>
                <wp:inline distT="0" distB="0" distL="114300" distR="114300">
                  <wp:extent cx="1308735" cy="669290"/>
                  <wp:effectExtent l="0" t="0" r="5715" b="16510"/>
                  <wp:docPr id="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1"/>
                          </pic:cNvPicPr>
                        </pic:nvPicPr>
                        <pic:blipFill>
                          <a:blip r:embed="rId8"/>
                          <a:stretch>
                            <a:fillRect/>
                          </a:stretch>
                        </pic:blipFill>
                        <pic:spPr>
                          <a:xfrm>
                            <a:off x="0" y="0"/>
                            <a:ext cx="1308735" cy="669290"/>
                          </a:xfrm>
                          <a:prstGeom prst="rect">
                            <a:avLst/>
                          </a:prstGeom>
                        </pic:spPr>
                      </pic:pic>
                    </a:graphicData>
                  </a:graphic>
                </wp:inline>
              </w:drawing>
            </w:r>
          </w:p>
          <w:p w14:paraId="2253AD4D">
            <w:pPr>
              <w:rPr>
                <w:rFonts w:hint="eastAsia"/>
                <w:lang w:val="en-US" w:eastAsia="zh-CN"/>
              </w:rPr>
            </w:pPr>
          </w:p>
          <w:p w14:paraId="5EB60178">
            <w:pPr>
              <w:rPr>
                <w:rFonts w:hint="eastAsia"/>
                <w:lang w:val="en-US" w:eastAsia="zh-CN"/>
              </w:rPr>
            </w:pPr>
            <w:r>
              <w:rPr>
                <w:rFonts w:hint="eastAsia"/>
                <w:lang w:val="en-US" w:eastAsia="zh-CN"/>
              </w:rPr>
              <w:drawing>
                <wp:inline distT="0" distB="0" distL="114300" distR="114300">
                  <wp:extent cx="1317625" cy="741045"/>
                  <wp:effectExtent l="0" t="0" r="15875" b="1905"/>
                  <wp:docPr id="4" name="图片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
                          <pic:cNvPicPr>
                            <a:picLocks noChangeAspect="1"/>
                          </pic:cNvPicPr>
                        </pic:nvPicPr>
                        <pic:blipFill>
                          <a:blip r:embed="rId9"/>
                          <a:stretch>
                            <a:fillRect/>
                          </a:stretch>
                        </pic:blipFill>
                        <pic:spPr>
                          <a:xfrm>
                            <a:off x="0" y="0"/>
                            <a:ext cx="1317625" cy="741045"/>
                          </a:xfrm>
                          <a:prstGeom prst="rect">
                            <a:avLst/>
                          </a:prstGeom>
                        </pic:spPr>
                      </pic:pic>
                    </a:graphicData>
                  </a:graphic>
                </wp:inline>
              </w:drawing>
            </w:r>
          </w:p>
          <w:p w14:paraId="181902FB">
            <w:pPr>
              <w:rPr>
                <w:rFonts w:hint="eastAsia"/>
                <w:lang w:val="en-US" w:eastAsia="zh-CN"/>
              </w:rPr>
            </w:pPr>
          </w:p>
          <w:p w14:paraId="4B00796B">
            <w:pPr>
              <w:rPr>
                <w:rFonts w:hint="eastAsia"/>
                <w:lang w:val="en-US" w:eastAsia="zh-CN"/>
              </w:rPr>
            </w:pPr>
            <w:r>
              <w:rPr>
                <w:rFonts w:hint="eastAsia"/>
                <w:lang w:val="en-US" w:eastAsia="zh-CN"/>
              </w:rPr>
              <w:drawing>
                <wp:inline distT="0" distB="0" distL="114300" distR="114300">
                  <wp:extent cx="1334770" cy="721995"/>
                  <wp:effectExtent l="0" t="0" r="17780" b="1905"/>
                  <wp:docPr id="5" name="图片 5"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
                          <pic:cNvPicPr>
                            <a:picLocks noChangeAspect="1"/>
                          </pic:cNvPicPr>
                        </pic:nvPicPr>
                        <pic:blipFill>
                          <a:blip r:embed="rId10"/>
                          <a:stretch>
                            <a:fillRect/>
                          </a:stretch>
                        </pic:blipFill>
                        <pic:spPr>
                          <a:xfrm>
                            <a:off x="0" y="0"/>
                            <a:ext cx="1334770" cy="721995"/>
                          </a:xfrm>
                          <a:prstGeom prst="rect">
                            <a:avLst/>
                          </a:prstGeom>
                        </pic:spPr>
                      </pic:pic>
                    </a:graphicData>
                  </a:graphic>
                </wp:inline>
              </w:drawing>
            </w:r>
          </w:p>
          <w:p w14:paraId="55F5AD3C">
            <w:pPr>
              <w:rPr>
                <w:rFonts w:hint="eastAsia"/>
                <w:lang w:val="en-US" w:eastAsia="zh-CN"/>
              </w:rPr>
            </w:pPr>
          </w:p>
        </w:tc>
      </w:tr>
      <w:tr w14:paraId="2BE41149">
        <w:tblPrEx>
          <w:tblCellMar>
            <w:top w:w="0" w:type="dxa"/>
            <w:left w:w="108" w:type="dxa"/>
            <w:bottom w:w="0" w:type="dxa"/>
            <w:right w:w="108" w:type="dxa"/>
          </w:tblCellMar>
        </w:tblPrEx>
        <w:trPr>
          <w:cantSplit/>
          <w:trHeight w:val="534" w:hRule="atLeast"/>
          <w:tblHeader/>
        </w:trPr>
        <w:tc>
          <w:tcPr>
            <w:tcW w:w="1130" w:type="dxa"/>
            <w:vMerge w:val="continue"/>
            <w:tcBorders>
              <w:left w:val="single" w:color="auto" w:sz="4" w:space="0"/>
              <w:right w:val="single" w:color="auto" w:sz="4" w:space="0"/>
            </w:tcBorders>
            <w:tcMar>
              <w:top w:w="0" w:type="dxa"/>
              <w:left w:w="108" w:type="dxa"/>
              <w:bottom w:w="0" w:type="dxa"/>
              <w:right w:w="108" w:type="dxa"/>
            </w:tcMar>
            <w:vAlign w:val="center"/>
          </w:tcPr>
          <w:p w14:paraId="5BDB971A"/>
        </w:tc>
        <w:tc>
          <w:tcPr>
            <w:tcW w:w="2073"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251E9CE7">
            <w:pPr>
              <w:rPr>
                <w:rFonts w:hint="default"/>
                <w:lang w:val="en-US" w:eastAsia="zh-CN"/>
              </w:rPr>
            </w:pPr>
            <w:r>
              <w:rPr>
                <w:rFonts w:hint="eastAsia"/>
                <w:lang w:val="en-US" w:eastAsia="zh-CN"/>
              </w:rPr>
              <w:t>2880*600*850</w:t>
            </w:r>
          </w:p>
        </w:tc>
        <w:tc>
          <w:tcPr>
            <w:tcW w:w="1350"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396F0CBA">
            <w:pPr>
              <w:jc w:val="center"/>
              <w:rPr>
                <w:rFonts w:hint="default"/>
                <w:lang w:val="en-US" w:eastAsia="zh-CN"/>
              </w:rPr>
            </w:pPr>
            <w:r>
              <w:rPr>
                <w:rFonts w:hint="eastAsia"/>
                <w:lang w:val="en-US" w:eastAsia="zh-CN"/>
              </w:rPr>
              <w:t>5.76</w:t>
            </w:r>
          </w:p>
        </w:tc>
        <w:tc>
          <w:tcPr>
            <w:tcW w:w="1323" w:type="dxa"/>
            <w:vMerge w:val="continue"/>
            <w:tcBorders>
              <w:left w:val="single" w:color="auto" w:sz="4" w:space="0"/>
              <w:right w:val="single" w:color="auto" w:sz="4" w:space="0"/>
            </w:tcBorders>
            <w:shd w:val="clear" w:color="FFFFFF" w:fill="auto"/>
            <w:tcMar>
              <w:top w:w="0" w:type="dxa"/>
              <w:left w:w="108" w:type="dxa"/>
              <w:bottom w:w="0" w:type="dxa"/>
              <w:right w:w="108" w:type="dxa"/>
            </w:tcMar>
            <w:vAlign w:val="center"/>
          </w:tcPr>
          <w:p w14:paraId="15CCAECF">
            <w:pPr>
              <w:rPr>
                <w:rFonts w:hint="eastAsia"/>
                <w:lang w:val="en-US" w:eastAsia="zh-CN"/>
              </w:rPr>
            </w:pPr>
          </w:p>
        </w:tc>
        <w:tc>
          <w:tcPr>
            <w:tcW w:w="2400" w:type="dxa"/>
            <w:vMerge w:val="continue"/>
            <w:tcBorders>
              <w:left w:val="single" w:color="auto" w:sz="4" w:space="0"/>
              <w:right w:val="single" w:color="auto" w:sz="4" w:space="0"/>
            </w:tcBorders>
            <w:shd w:val="clear" w:color="auto" w:fill="auto"/>
            <w:tcMar>
              <w:top w:w="0" w:type="dxa"/>
              <w:left w:w="108" w:type="dxa"/>
              <w:bottom w:w="0" w:type="dxa"/>
              <w:right w:w="108" w:type="dxa"/>
            </w:tcMar>
            <w:vAlign w:val="center"/>
          </w:tcPr>
          <w:p w14:paraId="448102D2">
            <w:pPr>
              <w:rPr>
                <w:rFonts w:hint="eastAsia"/>
                <w:lang w:val="en-US" w:eastAsia="zh-CN"/>
              </w:rPr>
            </w:pPr>
          </w:p>
        </w:tc>
      </w:tr>
      <w:tr w14:paraId="2C7F2F08">
        <w:tblPrEx>
          <w:tblCellMar>
            <w:top w:w="0" w:type="dxa"/>
            <w:left w:w="108" w:type="dxa"/>
            <w:bottom w:w="0" w:type="dxa"/>
            <w:right w:w="108" w:type="dxa"/>
          </w:tblCellMar>
        </w:tblPrEx>
        <w:trPr>
          <w:cantSplit/>
          <w:trHeight w:val="447" w:hRule="atLeast"/>
          <w:tblHeader/>
        </w:trPr>
        <w:tc>
          <w:tcPr>
            <w:tcW w:w="1130" w:type="dxa"/>
            <w:vMerge w:val="continue"/>
            <w:tcBorders>
              <w:left w:val="single" w:color="auto" w:sz="4" w:space="0"/>
              <w:right w:val="single" w:color="auto" w:sz="4" w:space="0"/>
            </w:tcBorders>
            <w:tcMar>
              <w:top w:w="0" w:type="dxa"/>
              <w:left w:w="108" w:type="dxa"/>
              <w:bottom w:w="0" w:type="dxa"/>
              <w:right w:w="108" w:type="dxa"/>
            </w:tcMar>
            <w:vAlign w:val="center"/>
          </w:tcPr>
          <w:p w14:paraId="566D0260"/>
        </w:tc>
        <w:tc>
          <w:tcPr>
            <w:tcW w:w="207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7D08CEB">
            <w:pPr>
              <w:rPr>
                <w:rFonts w:hint="default" w:eastAsia="宋体"/>
                <w:lang w:val="en-US" w:eastAsia="zh-CN"/>
              </w:rPr>
            </w:pPr>
            <w:r>
              <w:rPr>
                <w:rFonts w:hint="eastAsia" w:eastAsia="宋体"/>
                <w:lang w:val="en-US" w:eastAsia="zh-CN"/>
              </w:rPr>
              <w:t>3270*350/600*2000</w:t>
            </w:r>
          </w:p>
        </w:tc>
        <w:tc>
          <w:tcPr>
            <w:tcW w:w="1350"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6DAE3F21">
            <w:pPr>
              <w:jc w:val="center"/>
              <w:rPr>
                <w:rFonts w:hint="default"/>
                <w:lang w:val="en-US" w:eastAsia="zh-CN"/>
              </w:rPr>
            </w:pPr>
            <w:r>
              <w:rPr>
                <w:rFonts w:hint="eastAsia"/>
                <w:lang w:val="en-US" w:eastAsia="zh-CN"/>
              </w:rPr>
              <w:t>6.54</w:t>
            </w:r>
          </w:p>
        </w:tc>
        <w:tc>
          <w:tcPr>
            <w:tcW w:w="1323" w:type="dxa"/>
            <w:vMerge w:val="continue"/>
            <w:tcBorders>
              <w:left w:val="single" w:color="auto" w:sz="4" w:space="0"/>
              <w:right w:val="single" w:color="auto" w:sz="4" w:space="0"/>
            </w:tcBorders>
            <w:shd w:val="clear" w:color="FFFFFF" w:fill="auto"/>
            <w:tcMar>
              <w:top w:w="0" w:type="dxa"/>
              <w:left w:w="108" w:type="dxa"/>
              <w:bottom w:w="0" w:type="dxa"/>
              <w:right w:w="108" w:type="dxa"/>
            </w:tcMar>
            <w:vAlign w:val="center"/>
          </w:tcPr>
          <w:p w14:paraId="4390A6D0">
            <w:pPr>
              <w:rPr>
                <w:rFonts w:hint="eastAsia"/>
                <w:lang w:val="en-US" w:eastAsia="zh-CN"/>
              </w:rPr>
            </w:pPr>
          </w:p>
        </w:tc>
        <w:tc>
          <w:tcPr>
            <w:tcW w:w="2400" w:type="dxa"/>
            <w:vMerge w:val="continue"/>
            <w:tcBorders>
              <w:left w:val="single" w:color="auto" w:sz="4" w:space="0"/>
              <w:right w:val="single" w:color="auto" w:sz="4" w:space="0"/>
            </w:tcBorders>
            <w:shd w:val="clear" w:color="auto" w:fill="auto"/>
            <w:tcMar>
              <w:top w:w="0" w:type="dxa"/>
              <w:left w:w="108" w:type="dxa"/>
              <w:bottom w:w="0" w:type="dxa"/>
              <w:right w:w="108" w:type="dxa"/>
            </w:tcMar>
            <w:vAlign w:val="center"/>
          </w:tcPr>
          <w:p w14:paraId="329F36DC">
            <w:pPr>
              <w:rPr>
                <w:rFonts w:hint="eastAsia"/>
                <w:lang w:val="en-US" w:eastAsia="zh-CN"/>
              </w:rPr>
            </w:pPr>
          </w:p>
        </w:tc>
      </w:tr>
      <w:tr w14:paraId="58BBFA50">
        <w:tblPrEx>
          <w:tblCellMar>
            <w:top w:w="0" w:type="dxa"/>
            <w:left w:w="108" w:type="dxa"/>
            <w:bottom w:w="0" w:type="dxa"/>
            <w:right w:w="108" w:type="dxa"/>
          </w:tblCellMar>
        </w:tblPrEx>
        <w:trPr>
          <w:cantSplit/>
          <w:trHeight w:val="516" w:hRule="atLeast"/>
          <w:tblHeader/>
        </w:trPr>
        <w:tc>
          <w:tcPr>
            <w:tcW w:w="1130" w:type="dxa"/>
            <w:vMerge w:val="continue"/>
            <w:tcBorders>
              <w:left w:val="single" w:color="auto" w:sz="4" w:space="0"/>
              <w:right w:val="single" w:color="auto" w:sz="4" w:space="0"/>
            </w:tcBorders>
            <w:tcMar>
              <w:top w:w="0" w:type="dxa"/>
              <w:left w:w="108" w:type="dxa"/>
              <w:bottom w:w="0" w:type="dxa"/>
              <w:right w:w="108" w:type="dxa"/>
            </w:tcMar>
            <w:vAlign w:val="center"/>
          </w:tcPr>
          <w:p w14:paraId="75671567"/>
        </w:tc>
        <w:tc>
          <w:tcPr>
            <w:tcW w:w="2073"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5CBF6247">
            <w:pPr>
              <w:rPr>
                <w:rFonts w:hint="default"/>
                <w:lang w:val="en-US" w:eastAsia="zh-CN"/>
              </w:rPr>
            </w:pPr>
            <w:r>
              <w:rPr>
                <w:rFonts w:hint="eastAsia"/>
                <w:lang w:val="en-US" w:eastAsia="zh-CN"/>
              </w:rPr>
              <w:t>2595*350/600*2000</w:t>
            </w:r>
          </w:p>
        </w:tc>
        <w:tc>
          <w:tcPr>
            <w:tcW w:w="1350"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25ECD7DB">
            <w:pPr>
              <w:jc w:val="center"/>
              <w:rPr>
                <w:rFonts w:hint="default"/>
                <w:lang w:val="en-US" w:eastAsia="zh-CN"/>
              </w:rPr>
            </w:pPr>
            <w:r>
              <w:rPr>
                <w:rFonts w:hint="eastAsia"/>
                <w:lang w:val="en-US" w:eastAsia="zh-CN"/>
              </w:rPr>
              <w:t>5.19</w:t>
            </w:r>
          </w:p>
        </w:tc>
        <w:tc>
          <w:tcPr>
            <w:tcW w:w="1323" w:type="dxa"/>
            <w:vMerge w:val="continue"/>
            <w:tcBorders>
              <w:left w:val="single" w:color="auto" w:sz="4" w:space="0"/>
              <w:right w:val="single" w:color="auto" w:sz="4" w:space="0"/>
            </w:tcBorders>
            <w:shd w:val="clear" w:color="FFFFFF" w:fill="auto"/>
            <w:tcMar>
              <w:top w:w="0" w:type="dxa"/>
              <w:left w:w="108" w:type="dxa"/>
              <w:bottom w:w="0" w:type="dxa"/>
              <w:right w:w="108" w:type="dxa"/>
            </w:tcMar>
            <w:vAlign w:val="center"/>
          </w:tcPr>
          <w:p w14:paraId="72518E82">
            <w:pPr>
              <w:rPr>
                <w:rFonts w:hint="eastAsia"/>
                <w:lang w:val="en-US" w:eastAsia="zh-CN"/>
              </w:rPr>
            </w:pPr>
          </w:p>
        </w:tc>
        <w:tc>
          <w:tcPr>
            <w:tcW w:w="2400" w:type="dxa"/>
            <w:vMerge w:val="continue"/>
            <w:tcBorders>
              <w:left w:val="single" w:color="auto" w:sz="4" w:space="0"/>
              <w:right w:val="single" w:color="auto" w:sz="4" w:space="0"/>
            </w:tcBorders>
            <w:shd w:val="clear" w:color="auto" w:fill="auto"/>
            <w:tcMar>
              <w:top w:w="0" w:type="dxa"/>
              <w:left w:w="108" w:type="dxa"/>
              <w:bottom w:w="0" w:type="dxa"/>
              <w:right w:w="108" w:type="dxa"/>
            </w:tcMar>
            <w:vAlign w:val="center"/>
          </w:tcPr>
          <w:p w14:paraId="0A4AA576">
            <w:pPr>
              <w:rPr>
                <w:rFonts w:hint="eastAsia"/>
                <w:lang w:val="en-US" w:eastAsia="zh-CN"/>
              </w:rPr>
            </w:pPr>
          </w:p>
        </w:tc>
      </w:tr>
      <w:tr w14:paraId="232D33F7">
        <w:tblPrEx>
          <w:tblCellMar>
            <w:top w:w="0" w:type="dxa"/>
            <w:left w:w="108" w:type="dxa"/>
            <w:bottom w:w="0" w:type="dxa"/>
            <w:right w:w="108" w:type="dxa"/>
          </w:tblCellMar>
        </w:tblPrEx>
        <w:trPr>
          <w:cantSplit/>
          <w:trHeight w:val="586" w:hRule="atLeast"/>
          <w:tblHeader/>
        </w:trPr>
        <w:tc>
          <w:tcPr>
            <w:tcW w:w="1130" w:type="dxa"/>
            <w:vMerge w:val="continue"/>
            <w:tcBorders>
              <w:left w:val="single" w:color="auto" w:sz="4" w:space="0"/>
              <w:right w:val="single" w:color="auto" w:sz="4" w:space="0"/>
            </w:tcBorders>
            <w:tcMar>
              <w:top w:w="0" w:type="dxa"/>
              <w:left w:w="108" w:type="dxa"/>
              <w:bottom w:w="0" w:type="dxa"/>
              <w:right w:w="108" w:type="dxa"/>
            </w:tcMar>
            <w:vAlign w:val="center"/>
          </w:tcPr>
          <w:p w14:paraId="51059E41">
            <w:pPr>
              <w:rPr>
                <w:rFonts w:hint="default"/>
                <w:lang w:val="en-US" w:eastAsia="zh-CN"/>
              </w:rPr>
            </w:pPr>
          </w:p>
        </w:tc>
        <w:tc>
          <w:tcPr>
            <w:tcW w:w="2073"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25AFFE79">
            <w:pPr>
              <w:rPr>
                <w:rFonts w:hint="default"/>
                <w:lang w:val="en-US" w:eastAsia="zh-CN"/>
              </w:rPr>
            </w:pPr>
            <w:r>
              <w:rPr>
                <w:rFonts w:hint="eastAsia"/>
                <w:lang w:val="en-US" w:eastAsia="zh-CN"/>
              </w:rPr>
              <w:t>2870*600*850</w:t>
            </w:r>
          </w:p>
        </w:tc>
        <w:tc>
          <w:tcPr>
            <w:tcW w:w="1350"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26B7F341">
            <w:pPr>
              <w:jc w:val="center"/>
              <w:rPr>
                <w:rFonts w:hint="default"/>
                <w:lang w:val="en-US" w:eastAsia="zh-CN"/>
              </w:rPr>
            </w:pPr>
            <w:r>
              <w:rPr>
                <w:rFonts w:hint="eastAsia"/>
                <w:lang w:val="en-US" w:eastAsia="zh-CN"/>
              </w:rPr>
              <w:t>5.74</w:t>
            </w:r>
          </w:p>
        </w:tc>
        <w:tc>
          <w:tcPr>
            <w:tcW w:w="1323" w:type="dxa"/>
            <w:vMerge w:val="continue"/>
            <w:tcBorders>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2849F1D6">
            <w:pPr>
              <w:rPr>
                <w:rFonts w:hint="eastAsia"/>
                <w:lang w:val="en-US" w:eastAsia="zh-CN"/>
              </w:rPr>
            </w:pPr>
          </w:p>
        </w:tc>
        <w:tc>
          <w:tcPr>
            <w:tcW w:w="2400" w:type="dxa"/>
            <w:vMerge w:val="continue"/>
            <w:tcBorders>
              <w:left w:val="single" w:color="auto" w:sz="4" w:space="0"/>
              <w:right w:val="single" w:color="auto" w:sz="4" w:space="0"/>
            </w:tcBorders>
            <w:shd w:val="clear" w:color="auto" w:fill="auto"/>
            <w:tcMar>
              <w:top w:w="0" w:type="dxa"/>
              <w:left w:w="108" w:type="dxa"/>
              <w:bottom w:w="0" w:type="dxa"/>
              <w:right w:w="108" w:type="dxa"/>
            </w:tcMar>
            <w:vAlign w:val="center"/>
          </w:tcPr>
          <w:p w14:paraId="24A05917">
            <w:pPr>
              <w:rPr>
                <w:rFonts w:hint="eastAsia"/>
                <w:lang w:val="en-US" w:eastAsia="zh-CN"/>
              </w:rPr>
            </w:pPr>
          </w:p>
        </w:tc>
      </w:tr>
      <w:tr w14:paraId="0007A310">
        <w:tblPrEx>
          <w:tblCellMar>
            <w:top w:w="0" w:type="dxa"/>
            <w:left w:w="108" w:type="dxa"/>
            <w:bottom w:w="0" w:type="dxa"/>
            <w:right w:w="108" w:type="dxa"/>
          </w:tblCellMar>
        </w:tblPrEx>
        <w:trPr>
          <w:cantSplit/>
          <w:trHeight w:val="1192" w:hRule="atLeast"/>
          <w:tblHeader/>
        </w:trPr>
        <w:tc>
          <w:tcPr>
            <w:tcW w:w="1130"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04F2D378">
            <w:pPr>
              <w:rPr>
                <w:rFonts w:hint="default"/>
                <w:lang w:val="en-US" w:eastAsia="zh-CN"/>
              </w:rPr>
            </w:pPr>
          </w:p>
        </w:tc>
        <w:tc>
          <w:tcPr>
            <w:tcW w:w="2073"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54B329F4">
            <w:pPr>
              <w:rPr>
                <w:rFonts w:hint="default"/>
                <w:lang w:val="en-US" w:eastAsia="zh-CN"/>
              </w:rPr>
            </w:pPr>
            <w:r>
              <w:rPr>
                <w:rFonts w:hint="eastAsia"/>
                <w:lang w:val="en-US" w:eastAsia="zh-CN"/>
              </w:rPr>
              <w:t>2680*350/600*2000</w:t>
            </w:r>
          </w:p>
        </w:tc>
        <w:tc>
          <w:tcPr>
            <w:tcW w:w="1350"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7C978F3B">
            <w:pPr>
              <w:jc w:val="center"/>
              <w:rPr>
                <w:rFonts w:hint="default"/>
                <w:lang w:val="en-US" w:eastAsia="zh-CN"/>
              </w:rPr>
            </w:pPr>
            <w:r>
              <w:rPr>
                <w:rFonts w:hint="eastAsia"/>
                <w:lang w:val="en-US" w:eastAsia="zh-CN"/>
              </w:rPr>
              <w:t>5.36</w:t>
            </w:r>
          </w:p>
        </w:tc>
        <w:tc>
          <w:tcPr>
            <w:tcW w:w="1323" w:type="dxa"/>
            <w:vMerge w:val="continue"/>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04E83C86">
            <w:pPr>
              <w:rPr>
                <w:rFonts w:hint="eastAsia"/>
                <w:lang w:val="en-US" w:eastAsia="zh-CN"/>
              </w:rPr>
            </w:pPr>
          </w:p>
        </w:tc>
        <w:tc>
          <w:tcPr>
            <w:tcW w:w="2400" w:type="dxa"/>
            <w:vMerge w:val="continue"/>
            <w:tcBorders>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3490A5F">
            <w:pPr>
              <w:rPr>
                <w:rFonts w:hint="eastAsia"/>
                <w:lang w:val="en-US" w:eastAsia="zh-CN"/>
              </w:rPr>
            </w:pPr>
          </w:p>
        </w:tc>
      </w:tr>
    </w:tbl>
    <w:p w14:paraId="017890F1">
      <w:pPr>
        <w:pStyle w:val="12"/>
        <w:numPr>
          <w:ilvl w:val="0"/>
          <w:numId w:val="0"/>
        </w:numPr>
        <w:ind w:firstLine="562" w:firstLineChars="200"/>
        <w:jc w:val="both"/>
        <w:rPr>
          <w:rFonts w:hint="eastAsia" w:ascii="方正仿宋_GB2312" w:hAnsi="方正仿宋_GB2312" w:eastAsia="方正仿宋_GB2312" w:cs="方正仿宋_GB2312"/>
          <w:b/>
          <w:bCs/>
          <w:color w:val="000000"/>
          <w:kern w:val="0"/>
          <w:sz w:val="28"/>
          <w:szCs w:val="28"/>
          <w:vertAlign w:val="baseline"/>
          <w:lang w:val="en-US" w:eastAsia="zh-CN" w:bidi="ar-SA"/>
        </w:rPr>
      </w:pPr>
      <w:r>
        <w:rPr>
          <w:rFonts w:hint="eastAsia" w:ascii="方正仿宋_GB2312" w:hAnsi="方正仿宋_GB2312" w:eastAsia="方正仿宋_GB2312" w:cs="方正仿宋_GB2312"/>
          <w:b/>
          <w:bCs/>
          <w:color w:val="000000"/>
          <w:kern w:val="0"/>
          <w:sz w:val="28"/>
          <w:szCs w:val="28"/>
          <w:vertAlign w:val="baseline"/>
          <w:lang w:val="en-US" w:eastAsia="zh-CN" w:bidi="ar-SA"/>
        </w:rPr>
        <w:t>二、需求及技术明细</w:t>
      </w:r>
    </w:p>
    <w:p w14:paraId="385A1A6D">
      <w:pPr>
        <w:pStyle w:val="12"/>
        <w:numPr>
          <w:ilvl w:val="0"/>
          <w:numId w:val="0"/>
        </w:numPr>
        <w:ind w:firstLine="562" w:firstLineChars="200"/>
        <w:jc w:val="both"/>
        <w:rPr>
          <w:rFonts w:hint="eastAsia" w:ascii="方正仿宋_GB2312" w:hAnsi="方正仿宋_GB2312" w:eastAsia="方正仿宋_GB2312" w:cs="方正仿宋_GB2312"/>
          <w:b/>
          <w:bCs/>
          <w:color w:val="000000"/>
          <w:kern w:val="0"/>
          <w:sz w:val="28"/>
          <w:szCs w:val="28"/>
          <w:vertAlign w:val="baseline"/>
          <w:lang w:val="en-US" w:eastAsia="zh-CN" w:bidi="ar-SA"/>
        </w:rPr>
      </w:pPr>
      <w:r>
        <w:rPr>
          <w:rFonts w:hint="eastAsia" w:ascii="方正仿宋_GB2312" w:hAnsi="方正仿宋_GB2312" w:eastAsia="方正仿宋_GB2312" w:cs="方正仿宋_GB2312"/>
          <w:b/>
          <w:bCs/>
          <w:color w:val="000000"/>
          <w:kern w:val="0"/>
          <w:sz w:val="28"/>
          <w:szCs w:val="28"/>
          <w:vertAlign w:val="baseline"/>
          <w:lang w:val="en-US" w:eastAsia="zh-CN" w:bidi="ar-SA"/>
        </w:rPr>
        <w:t>三、商务要求</w:t>
      </w:r>
    </w:p>
    <w:p w14:paraId="139353DD">
      <w:pPr>
        <w:pStyle w:val="13"/>
        <w:numPr>
          <w:ilvl w:val="0"/>
          <w:numId w:val="0"/>
        </w:numPr>
        <w:ind w:leftChars="0" w:firstLine="440" w:firstLineChars="200"/>
      </w:pPr>
      <w:r>
        <w:rPr>
          <w:rFonts w:hint="eastAsia"/>
          <w:b/>
          <w:bCs/>
          <w:lang w:val="en-US" w:eastAsia="zh-CN"/>
        </w:rPr>
        <w:t>1.</w:t>
      </w:r>
      <w:r>
        <w:rPr>
          <w:rFonts w:hint="eastAsia"/>
          <w:b/>
          <w:bCs/>
          <w:lang w:eastAsia="zh-CN"/>
        </w:rPr>
        <w:t>工期要求</w:t>
      </w:r>
      <w:r>
        <w:t>：</w:t>
      </w:r>
      <w:r>
        <w:rPr>
          <w:rFonts w:hint="eastAsia"/>
          <w:lang w:eastAsia="zh-CN"/>
        </w:rPr>
        <w:t>接到院方通知后</w:t>
      </w:r>
      <w:r>
        <w:rPr>
          <w:rFonts w:hint="eastAsia"/>
          <w:lang w:val="en-US" w:eastAsia="zh-CN"/>
        </w:rPr>
        <w:t>10天内完成安装</w:t>
      </w:r>
      <w:r>
        <w:t>。</w:t>
      </w:r>
    </w:p>
    <w:p w14:paraId="2517EC10">
      <w:pPr>
        <w:pStyle w:val="13"/>
        <w:numPr>
          <w:ilvl w:val="0"/>
          <w:numId w:val="0"/>
        </w:numPr>
        <w:ind w:leftChars="0" w:firstLine="440" w:firstLineChars="200"/>
      </w:pPr>
      <w:r>
        <w:rPr>
          <w:rFonts w:hint="eastAsia"/>
          <w:b/>
          <w:bCs/>
          <w:lang w:val="en-US" w:eastAsia="zh-CN"/>
        </w:rPr>
        <w:t>2.</w:t>
      </w:r>
      <w:r>
        <w:rPr>
          <w:b/>
          <w:bCs/>
        </w:rPr>
        <w:t>服务地点</w:t>
      </w:r>
      <w:r>
        <w:t>：宜宾市</w:t>
      </w:r>
      <w:r>
        <w:rPr>
          <w:rFonts w:hint="eastAsia"/>
        </w:rPr>
        <w:t>高县中医医院</w:t>
      </w:r>
      <w:r>
        <w:t>。</w:t>
      </w:r>
    </w:p>
    <w:p w14:paraId="5D389414">
      <w:pPr>
        <w:pStyle w:val="13"/>
        <w:numPr>
          <w:ilvl w:val="0"/>
          <w:numId w:val="0"/>
        </w:numPr>
        <w:ind w:leftChars="0" w:firstLine="440" w:firstLineChars="200"/>
      </w:pPr>
      <w:r>
        <w:rPr>
          <w:rFonts w:hint="eastAsia"/>
          <w:b/>
          <w:bCs/>
          <w:lang w:val="en-US" w:eastAsia="zh-CN"/>
        </w:rPr>
        <w:t>3.</w:t>
      </w:r>
      <w:r>
        <w:rPr>
          <w:b/>
          <w:bCs/>
        </w:rPr>
        <w:t>付款方式</w:t>
      </w:r>
      <w:r>
        <w:t>：</w:t>
      </w:r>
      <w:r>
        <w:rPr>
          <w:rFonts w:hint="eastAsia"/>
          <w:lang w:eastAsia="zh-CN"/>
        </w:rPr>
        <w:t>合同签订后</w:t>
      </w:r>
      <w:r>
        <w:rPr>
          <w:rFonts w:hint="eastAsia"/>
          <w:lang w:val="en-US" w:eastAsia="zh-CN"/>
        </w:rPr>
        <w:t>5日内支付合同总金额的30%款项；采购人验收合格，供应商出具符合税务、财政要求的正规发票，通过采购人付款审签流程后15日内支付合同总金额的70%款项</w:t>
      </w:r>
      <w:r>
        <w:t>。</w:t>
      </w:r>
    </w:p>
    <w:p w14:paraId="04664247">
      <w:pPr>
        <w:pStyle w:val="13"/>
        <w:numPr>
          <w:ilvl w:val="0"/>
          <w:numId w:val="0"/>
        </w:numPr>
        <w:ind w:firstLine="440" w:firstLineChars="200"/>
        <w:rPr>
          <w:rFonts w:hint="eastAsia"/>
          <w:lang w:val="en-US" w:eastAsia="zh-CN"/>
        </w:rPr>
      </w:pPr>
      <w:r>
        <w:rPr>
          <w:rFonts w:hint="eastAsia"/>
          <w:b/>
          <w:bCs/>
          <w:lang w:val="en-US" w:eastAsia="zh-CN"/>
        </w:rPr>
        <w:t>4.质保期限：</w:t>
      </w:r>
      <w:r>
        <w:rPr>
          <w:rFonts w:hint="eastAsia"/>
          <w:lang w:val="en-US" w:eastAsia="zh-CN"/>
        </w:rPr>
        <w:t>2年。</w:t>
      </w:r>
    </w:p>
    <w:p w14:paraId="371F3F91">
      <w:pPr>
        <w:pStyle w:val="13"/>
        <w:numPr>
          <w:ilvl w:val="0"/>
          <w:numId w:val="0"/>
        </w:numPr>
        <w:ind w:firstLine="440" w:firstLineChars="200"/>
        <w:jc w:val="both"/>
        <w:rPr>
          <w:rFonts w:hint="eastAsia" w:ascii="方正仿宋_GB2312" w:hAnsi="方正仿宋_GB2312" w:eastAsia="方正仿宋_GB2312" w:cs="方正仿宋_GB2312"/>
          <w:sz w:val="28"/>
          <w:szCs w:val="28"/>
          <w:lang w:val="en-US" w:eastAsia="zh-CN"/>
        </w:rPr>
      </w:pPr>
      <w:r>
        <w:rPr>
          <w:rFonts w:hint="eastAsia"/>
          <w:b/>
          <w:bCs/>
          <w:lang w:val="en-US" w:eastAsia="zh-CN"/>
        </w:rPr>
        <w:t>5.验收方式</w:t>
      </w:r>
      <w:r>
        <w:rPr>
          <w:rFonts w:hint="eastAsia"/>
          <w:lang w:val="en-US" w:eastAsia="zh-CN"/>
        </w:rPr>
        <w:t>：按国家有关规定以及采购要求的质量要求和技术指标(包括每一项技术和商务要求的履约情况)、供应商的响应文件及承诺与合同约定标准进行验收；采购双方如对质量要求和技术指标的约定标准有相互抵触或异议的事项，由我院在国家有关规定、采购文件、响应文件及承诺与采购合同约定中按质量要求和技术指标比较优胜的原则确定该项的约定标准进行验收。</w:t>
      </w:r>
    </w:p>
    <w:p w14:paraId="09FFF71D">
      <w:pPr>
        <w:pStyle w:val="13"/>
        <w:numPr>
          <w:ilvl w:val="0"/>
          <w:numId w:val="0"/>
        </w:numPr>
        <w:ind w:firstLine="440" w:firstLineChars="200"/>
        <w:rPr>
          <w:rFonts w:hint="eastAsia" w:ascii="方正仿宋_GB2312" w:hAnsi="方正仿宋_GB2312" w:eastAsia="方正仿宋_GB2312" w:cs="方正仿宋_GB2312"/>
          <w:sz w:val="28"/>
          <w:szCs w:val="28"/>
          <w:lang w:val="en-US" w:eastAsia="zh-CN"/>
        </w:rPr>
      </w:pPr>
      <w:r>
        <w:rPr>
          <w:rFonts w:hint="eastAsia"/>
          <w:b/>
          <w:bCs/>
          <w:lang w:val="en-US" w:eastAsia="zh-CN"/>
        </w:rPr>
        <w:t>6.违约责任与解决争议的方法：</w:t>
      </w:r>
      <w:r>
        <w:rPr>
          <w:rFonts w:hint="eastAsia"/>
          <w:lang w:val="en-US" w:eastAsia="zh-CN"/>
        </w:rPr>
        <w:t>政府采购合同的履行、违约责任和解决争议的方法等适用《中华人民共和国民法典》。</w:t>
      </w:r>
    </w:p>
    <w:p w14:paraId="17AE9FF2">
      <w:pPr>
        <w:pStyle w:val="12"/>
        <w:numPr>
          <w:ilvl w:val="0"/>
          <w:numId w:val="0"/>
        </w:numPr>
        <w:ind w:firstLine="562" w:firstLineChars="200"/>
        <w:jc w:val="both"/>
        <w:rPr>
          <w:rFonts w:hint="eastAsia" w:ascii="方正仿宋_GB2312" w:hAnsi="方正仿宋_GB2312" w:eastAsia="方正仿宋_GB2312" w:cs="方正仿宋_GB2312"/>
          <w:b/>
          <w:bCs/>
          <w:color w:val="000000"/>
          <w:kern w:val="0"/>
          <w:sz w:val="28"/>
          <w:szCs w:val="28"/>
          <w:vertAlign w:val="baseline"/>
          <w:lang w:val="en-US" w:eastAsia="zh-CN" w:bidi="ar-SA"/>
        </w:rPr>
      </w:pPr>
      <w:r>
        <w:rPr>
          <w:rFonts w:hint="eastAsia" w:ascii="方正仿宋_GB2312" w:hAnsi="方正仿宋_GB2312" w:eastAsia="方正仿宋_GB2312" w:cs="方正仿宋_GB2312"/>
          <w:b/>
          <w:bCs/>
          <w:color w:val="000000"/>
          <w:kern w:val="0"/>
          <w:sz w:val="28"/>
          <w:szCs w:val="28"/>
          <w:vertAlign w:val="baseline"/>
          <w:lang w:val="en-US" w:eastAsia="zh-CN" w:bidi="ar-SA"/>
        </w:rPr>
        <w:t>四、报价要求</w:t>
      </w:r>
    </w:p>
    <w:p w14:paraId="631D65F1">
      <w:pPr>
        <w:pStyle w:val="8"/>
        <w:numPr>
          <w:ilvl w:val="0"/>
          <w:numId w:val="0"/>
        </w:numPr>
        <w:ind w:firstLine="480" w:firstLineChars="200"/>
        <w:jc w:val="both"/>
        <w:rPr>
          <w:rFonts w:hint="eastAsia" w:ascii="仿宋_GB2312" w:hAnsi="仿宋_GB2312" w:eastAsia="仿宋_GB2312" w:cs="仿宋_GB2312"/>
          <w:color w:val="FF0000"/>
          <w:sz w:val="32"/>
          <w:szCs w:val="32"/>
          <w:lang w:val="en-US" w:eastAsia="zh-CN"/>
        </w:rPr>
      </w:pPr>
      <w:r>
        <w:rPr>
          <w:rFonts w:hint="eastAsia" w:ascii="Arial" w:hAnsi="Arial" w:eastAsia="宋体" w:cs="Arial"/>
          <w:color w:val="000000"/>
          <w:sz w:val="24"/>
          <w:szCs w:val="24"/>
          <w:lang w:val="en-US" w:eastAsia="zh-CN" w:bidi="ar-SA"/>
        </w:rPr>
        <w:t>本项目最高限价：</w:t>
      </w:r>
      <w:r>
        <w:rPr>
          <w:rFonts w:hint="eastAsia" w:ascii="Arial" w:hAnsi="Arial" w:cs="Arial"/>
          <w:color w:val="000000"/>
          <w:sz w:val="24"/>
          <w:szCs w:val="24"/>
          <w:lang w:val="en-US" w:eastAsia="zh-CN" w:bidi="ar-SA"/>
        </w:rPr>
        <w:t>6.6194</w:t>
      </w:r>
      <w:r>
        <w:rPr>
          <w:rFonts w:hint="eastAsia" w:ascii="Arial" w:hAnsi="Arial" w:eastAsia="宋体" w:cs="Arial"/>
          <w:color w:val="000000"/>
          <w:sz w:val="24"/>
          <w:szCs w:val="24"/>
          <w:lang w:val="en-US" w:eastAsia="zh-CN" w:bidi="ar-SA"/>
        </w:rPr>
        <w:t>万元，报价应包含与该项目有关的人工、设备、税费等一切费用。</w:t>
      </w:r>
    </w:p>
    <w:p w14:paraId="0C88E2AE">
      <w:pPr>
        <w:pStyle w:val="4"/>
        <w:numPr>
          <w:ilvl w:val="0"/>
          <w:numId w:val="0"/>
        </w:numPr>
        <w:spacing w:line="360" w:lineRule="auto"/>
        <w:ind w:leftChars="0" w:firstLine="321" w:firstLineChars="100"/>
      </w:pPr>
      <w:r>
        <w:rPr>
          <w:rFonts w:hint="eastAsia" w:ascii="仿宋_GB2312" w:hAnsi="仿宋_GB2312" w:eastAsia="仿宋_GB2312" w:cs="仿宋_GB2312"/>
          <w:b/>
          <w:bCs/>
          <w:sz w:val="32"/>
          <w:szCs w:val="32"/>
          <w:lang w:val="en-US" w:eastAsia="zh-CN"/>
        </w:rPr>
        <w:t>注：</w:t>
      </w:r>
      <w:r>
        <w:rPr>
          <w:rFonts w:hint="eastAsia" w:ascii="仿宋_GB2312" w:hAnsi="仿宋_GB2312" w:eastAsia="仿宋_GB2312" w:cs="仿宋_GB2312"/>
          <w:b/>
          <w:bCs/>
          <w:color w:val="auto"/>
          <w:kern w:val="2"/>
          <w:sz w:val="32"/>
          <w:szCs w:val="32"/>
          <w:highlight w:val="none"/>
          <w:lang w:val="en-US" w:eastAsia="zh-CN" w:bidi="ar-SA"/>
        </w:rPr>
        <w:t>本章采购要求中的条款为本次采购项目的实质性要求，供应商应全部满足，否则视为响应文件无效。</w:t>
      </w:r>
    </w:p>
    <w:p w14:paraId="081639A5">
      <w:pPr>
        <w:pStyle w:val="8"/>
        <w:ind w:left="0" w:leftChars="0" w:firstLine="0" w:firstLineChars="0"/>
        <w:rPr>
          <w:rFonts w:hint="eastAsia" w:ascii="仿宋_GB2312" w:hAnsi="仿宋_GB2312" w:eastAsia="仿宋_GB2312" w:cs="仿宋_GB2312"/>
          <w:bCs/>
          <w:sz w:val="32"/>
          <w:szCs w:val="32"/>
          <w:lang w:val="en-US" w:eastAsia="zh-CN"/>
        </w:rPr>
      </w:pPr>
    </w:p>
    <w:p w14:paraId="4400DD84">
      <w:pPr>
        <w:rPr>
          <w:rFonts w:hint="eastAsia" w:ascii="方正仿宋_GB2312" w:hAnsi="方正仿宋_GB2312" w:eastAsia="方正仿宋_GB2312" w:cs="方正仿宋_GB2312"/>
          <w:i w:val="0"/>
          <w:iCs w:val="0"/>
          <w:caps w:val="0"/>
          <w:color w:val="000000"/>
          <w:spacing w:val="0"/>
          <w:sz w:val="24"/>
          <w:szCs w:val="24"/>
          <w:shd w:val="clear" w:fill="FFFFFF"/>
          <w:vertAlign w:val="baseline"/>
          <w:lang w:val="en-US" w:eastAsia="zh-CN"/>
        </w:rPr>
      </w:pPr>
      <w:bookmarkStart w:id="0" w:name="_GoBack"/>
      <w:bookmarkEnd w:id="0"/>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0F14B5C-3A7B-4F95-841E-A6CBD3C5E52B}"/>
  </w:font>
  <w:font w:name="黑体">
    <w:altName w:val="黑体"/>
    <w:panose1 w:val="02010609060101010101"/>
    <w:charset w:val="86"/>
    <w:family w:val="auto"/>
    <w:pitch w:val="default"/>
    <w:sig w:usb0="800002BF" w:usb1="38CF7CFA" w:usb2="00000016" w:usb3="00000000" w:csb0="00040001" w:csb1="00000000"/>
    <w:embedRegular r:id="rId2" w:fontKey="{706B3255-ACF8-4861-B0E3-8507BF4EFA3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0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3" w:fontKey="{9C184447-51FE-4B64-84DF-5DB5098A7967}"/>
  </w:font>
  <w:font w:name="方正小标宋简体">
    <w:panose1 w:val="02000000000000000000"/>
    <w:charset w:val="86"/>
    <w:family w:val="auto"/>
    <w:pitch w:val="default"/>
    <w:sig w:usb0="00000001" w:usb1="08000000" w:usb2="00000000" w:usb3="00000000" w:csb0="00040000" w:csb1="00000000"/>
    <w:embedRegular r:id="rId4" w:fontKey="{5278AFD5-1C65-46A5-BBF3-B656C228F0AF}"/>
  </w:font>
  <w:font w:name="仿宋_GB2312">
    <w:altName w:val="仿宋"/>
    <w:panose1 w:val="02010609030101010101"/>
    <w:charset w:val="86"/>
    <w:family w:val="auto"/>
    <w:pitch w:val="default"/>
    <w:sig w:usb0="00000000" w:usb1="00000000" w:usb2="00000000" w:usb3="00000000" w:csb0="00040000" w:csb1="00000000"/>
    <w:embedRegular r:id="rId5" w:fontKey="{0479C1D3-9587-4EA1-9AE1-1C470C13C360}"/>
  </w:font>
  <w:font w:name="仿宋">
    <w:panose1 w:val="02010609060101010101"/>
    <w:charset w:val="86"/>
    <w:family w:val="auto"/>
    <w:pitch w:val="default"/>
    <w:sig w:usb0="800002BF" w:usb1="38CF7CFA" w:usb2="00000016" w:usb3="00000000" w:csb0="00040001" w:csb1="00000000"/>
  </w:font>
  <w:font w:name="WPSEMBED2">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2185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3BA1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23BA1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MDAyMTk2MDA1YzQxNGRhOWY0OTljMTBhMjEwZjcifQ=="/>
  </w:docVars>
  <w:rsids>
    <w:rsidRoot w:val="797A28EE"/>
    <w:rsid w:val="048D4113"/>
    <w:rsid w:val="0CE21123"/>
    <w:rsid w:val="0D1C5384"/>
    <w:rsid w:val="0E542079"/>
    <w:rsid w:val="0EEA7E55"/>
    <w:rsid w:val="18DE58AA"/>
    <w:rsid w:val="1C2B7D21"/>
    <w:rsid w:val="1C3500A0"/>
    <w:rsid w:val="1D1135A6"/>
    <w:rsid w:val="1D5F2712"/>
    <w:rsid w:val="27F02ECD"/>
    <w:rsid w:val="29ED4D52"/>
    <w:rsid w:val="2EF67B70"/>
    <w:rsid w:val="34B378F8"/>
    <w:rsid w:val="35AC3E93"/>
    <w:rsid w:val="37EE7B0E"/>
    <w:rsid w:val="417664B6"/>
    <w:rsid w:val="42AB3F43"/>
    <w:rsid w:val="44583DF1"/>
    <w:rsid w:val="4E552276"/>
    <w:rsid w:val="64F5163D"/>
    <w:rsid w:val="6B566F1D"/>
    <w:rsid w:val="6ED7032D"/>
    <w:rsid w:val="72FC1993"/>
    <w:rsid w:val="797A28EE"/>
    <w:rsid w:val="7FDF7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Body Text First Indent"/>
    <w:basedOn w:val="3"/>
    <w:unhideWhenUsed/>
    <w:qFormat/>
    <w:uiPriority w:val="99"/>
    <w:pPr>
      <w:ind w:firstLine="420" w:firstLineChars="100"/>
    </w:pPr>
  </w:style>
  <w:style w:type="paragraph" w:styleId="5">
    <w:name w:val="Body Text Indent"/>
    <w:basedOn w:val="1"/>
    <w:qFormat/>
    <w:uiPriority w:val="0"/>
    <w:pPr>
      <w:ind w:firstLine="538" w:firstLineChars="192"/>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5"/>
    <w:qFormat/>
    <w:uiPriority w:val="0"/>
    <w:pPr>
      <w:spacing w:after="120"/>
      <w:ind w:left="420" w:leftChars="200" w:firstLine="420" w:firstLineChars="200"/>
    </w:pPr>
    <w:rPr>
      <w:rFonts w:ascii="Calibri" w:hAnsi="Calibri" w:eastAsia="宋体" w:cs="Times New Roman"/>
      <w:sz w:val="21"/>
      <w:szCs w:val="21"/>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3">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445</Words>
  <Characters>569</Characters>
  <Lines>0</Lines>
  <Paragraphs>0</Paragraphs>
  <TotalTime>8</TotalTime>
  <ScaleCrop>false</ScaleCrop>
  <LinksUpToDate>false</LinksUpToDate>
  <CharactersWithSpaces>575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2025-03-03T02:20:00Z</dcterms:created>
  <dc:creator>詹功强</dc:creator>
  <cp:lastModifiedBy>王旭</cp:lastModifiedBy>
  <cp:lastPrinted>2026-07-10T00:57:33Z</cp:lastPrinted>
  <dcterms:modified xsi:type="dcterms:W3CDTF">2026-07-10T00:57:38Z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13F5E52B93C3417186CB94CB707D1A5D_11</vt:lpwstr>
  </property>
  <property fmtid="{D5CDD505-2E9C-101B-9397-08002B2CF9AE}" pid="4" name="KSOTemplateDocerSaveRecord">
    <vt:lpwstr>eyJoZGlkIjoiNzc5YTdkNjg0NGZhYmEyZGM3NmJiMTM5NzBmY2RmNDAiLCJ1c2VySWQiOiIxNjUxMjY5MTU1In0=</vt:lpwstr>
  </property>
</Properties>
</file>