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DFC6F">
      <w:pPr>
        <w:rPr>
          <w:rFonts w:hint="eastAsia" w:ascii="黑体" w:hAnsi="黑体" w:eastAsia="黑体" w:cs="黑体"/>
          <w:i w:val="0"/>
          <w:iCs w:val="0"/>
          <w:caps w:val="0"/>
          <w:color w:val="000000"/>
          <w:spacing w:val="0"/>
          <w:sz w:val="44"/>
          <w:szCs w:val="44"/>
          <w:shd w:val="clear" w:fill="FFFFFF"/>
          <w:vertAlign w:val="baseline"/>
          <w:lang w:val="en-US" w:eastAsia="zh-CN"/>
        </w:rPr>
      </w:pPr>
      <w:r>
        <w:rPr>
          <w:rFonts w:hint="eastAsia" w:ascii="方正仿宋_GB2312" w:hAnsi="方正仿宋_GB2312" w:eastAsia="方正仿宋_GB2312" w:cs="方正仿宋_GB2312"/>
          <w:sz w:val="32"/>
          <w:szCs w:val="32"/>
          <w:lang w:val="en-US" w:eastAsia="zh-CN"/>
        </w:rPr>
        <w:t>附件1：</w:t>
      </w:r>
    </w:p>
    <w:p w14:paraId="3694B581">
      <w:pPr>
        <w:jc w:val="center"/>
        <w:rPr>
          <w:rFonts w:hint="eastAsia" w:ascii="Arial Unicode MS" w:hAnsi="Arial Unicode MS" w:eastAsia="Arial Unicode MS" w:cs="Arial Unicode MS"/>
          <w:color w:val="000000"/>
          <w:kern w:val="0"/>
          <w:sz w:val="44"/>
          <w:szCs w:val="44"/>
          <w:vertAlign w:val="baseline"/>
          <w:lang w:val="en-US" w:eastAsia="zh-CN" w:bidi="ar-SA"/>
        </w:rPr>
      </w:pPr>
      <w:r>
        <w:rPr>
          <w:rFonts w:hint="eastAsia" w:ascii="Arial Unicode MS" w:hAnsi="Arial Unicode MS" w:eastAsia="Arial Unicode MS" w:cs="Arial Unicode MS"/>
          <w:sz w:val="44"/>
          <w:szCs w:val="44"/>
          <w:lang w:val="en-US" w:eastAsia="zh-CN"/>
        </w:rPr>
        <w:t>采 购 要 求</w:t>
      </w:r>
    </w:p>
    <w:p w14:paraId="03F0BEDE">
      <w:pPr>
        <w:pStyle w:val="13"/>
        <w:numPr>
          <w:ilvl w:val="0"/>
          <w:numId w:val="0"/>
        </w:numPr>
        <w:ind w:firstLine="562" w:firstLineChars="200"/>
        <w:jc w:val="both"/>
        <w:rPr>
          <w:rFonts w:hint="eastAsia" w:ascii="方正仿宋_GB2312" w:hAnsi="方正仿宋_GB2312" w:eastAsia="方正仿宋_GB2312" w:cs="方正仿宋_GB2312"/>
          <w:b/>
          <w:bCs/>
          <w:color w:val="000000"/>
          <w:kern w:val="0"/>
          <w:sz w:val="28"/>
          <w:szCs w:val="28"/>
          <w:vertAlign w:val="baseline"/>
          <w:lang w:val="en-US" w:eastAsia="zh-CN" w:bidi="ar-SA"/>
        </w:rPr>
      </w:pPr>
    </w:p>
    <w:p w14:paraId="6DD60D17">
      <w:pPr>
        <w:pStyle w:val="13"/>
        <w:numPr>
          <w:ilvl w:val="0"/>
          <w:numId w:val="0"/>
        </w:numPr>
        <w:ind w:firstLine="643" w:firstLineChars="200"/>
        <w:jc w:val="both"/>
        <w:rPr>
          <w:rFonts w:hint="eastAsia" w:ascii="方正仿宋_GB2312" w:hAnsi="方正仿宋_GB2312" w:eastAsia="方正仿宋_GB2312" w:cs="方正仿宋_GB2312"/>
          <w:b/>
          <w:bCs/>
          <w:color w:val="000000"/>
          <w:kern w:val="0"/>
          <w:sz w:val="32"/>
          <w:szCs w:val="32"/>
          <w:vertAlign w:val="baseline"/>
          <w:lang w:val="en-US" w:eastAsia="zh-CN" w:bidi="ar-SA"/>
        </w:rPr>
      </w:pPr>
      <w:r>
        <w:rPr>
          <w:rFonts w:hint="eastAsia" w:ascii="方正仿宋_GB2312" w:hAnsi="方正仿宋_GB2312" w:eastAsia="方正仿宋_GB2312" w:cs="方正仿宋_GB2312"/>
          <w:b/>
          <w:bCs/>
          <w:color w:val="000000"/>
          <w:kern w:val="0"/>
          <w:sz w:val="32"/>
          <w:szCs w:val="32"/>
          <w:vertAlign w:val="baseline"/>
          <w:lang w:val="en-US" w:eastAsia="zh-CN" w:bidi="ar-SA"/>
        </w:rPr>
        <w:t>一、供应商资质</w:t>
      </w:r>
    </w:p>
    <w:p w14:paraId="3C8D6E2B">
      <w:pPr>
        <w:keepNext w:val="0"/>
        <w:keepLines w:val="0"/>
        <w:pageBreakBefore w:val="0"/>
        <w:widowControl/>
        <w:numPr>
          <w:ilvl w:val="0"/>
          <w:numId w:val="0"/>
        </w:numPr>
        <w:kinsoku/>
        <w:wordWrap/>
        <w:overflowPunct/>
        <w:topLinePunct w:val="0"/>
        <w:autoSpaceDE/>
        <w:autoSpaceDN/>
        <w:bidi w:val="0"/>
        <w:snapToGrid/>
        <w:spacing w:after="0" w:afterLines="0" w:line="360" w:lineRule="auto"/>
        <w:ind w:right="-1" w:rightChars="0" w:firstLine="440" w:firstLineChars="200"/>
        <w:jc w:val="left"/>
        <w:rPr>
          <w:rFonts w:hint="eastAsia" w:ascii="Arial" w:hAnsi="Arial" w:eastAsia="等线" w:cs="Arial"/>
          <w:snapToGrid/>
          <w:color w:val="auto"/>
          <w:kern w:val="0"/>
          <w:sz w:val="22"/>
          <w:szCs w:val="22"/>
          <w:lang w:val="en-US" w:eastAsia="zh-CN" w:bidi="ar-SA"/>
        </w:rPr>
      </w:pPr>
      <w:r>
        <w:rPr>
          <w:rFonts w:hint="eastAsia" w:ascii="Arial" w:hAnsi="Arial" w:eastAsia="等线" w:cs="Arial"/>
          <w:snapToGrid/>
          <w:color w:val="auto"/>
          <w:kern w:val="0"/>
          <w:sz w:val="22"/>
          <w:szCs w:val="22"/>
          <w:lang w:val="en-US" w:eastAsia="zh-CN" w:bidi="ar-SA"/>
        </w:rPr>
        <w:t>1.具有独立承担民事责任的能力（提供承诺函）。</w:t>
      </w:r>
    </w:p>
    <w:p w14:paraId="6847F63E">
      <w:pPr>
        <w:keepNext w:val="0"/>
        <w:keepLines w:val="0"/>
        <w:pageBreakBefore w:val="0"/>
        <w:widowControl/>
        <w:numPr>
          <w:ilvl w:val="0"/>
          <w:numId w:val="0"/>
        </w:numPr>
        <w:kinsoku/>
        <w:wordWrap/>
        <w:overflowPunct/>
        <w:topLinePunct w:val="0"/>
        <w:autoSpaceDE/>
        <w:autoSpaceDN/>
        <w:bidi w:val="0"/>
        <w:snapToGrid/>
        <w:spacing w:after="0" w:afterLines="0" w:line="360" w:lineRule="auto"/>
        <w:ind w:right="-1" w:rightChars="0" w:firstLine="440" w:firstLineChars="200"/>
        <w:jc w:val="left"/>
        <w:rPr>
          <w:rFonts w:hint="eastAsia" w:ascii="Arial" w:hAnsi="Arial" w:eastAsia="等线" w:cs="Arial"/>
          <w:snapToGrid/>
          <w:color w:val="auto"/>
          <w:kern w:val="0"/>
          <w:sz w:val="22"/>
          <w:szCs w:val="22"/>
          <w:lang w:val="en-US" w:eastAsia="zh-CN" w:bidi="ar-SA"/>
        </w:rPr>
      </w:pPr>
      <w:r>
        <w:rPr>
          <w:rFonts w:hint="eastAsia" w:ascii="Arial" w:hAnsi="Arial" w:eastAsia="等线" w:cs="Arial"/>
          <w:snapToGrid/>
          <w:color w:val="auto"/>
          <w:kern w:val="0"/>
          <w:sz w:val="22"/>
          <w:szCs w:val="22"/>
          <w:lang w:val="en-US" w:eastAsia="zh-CN" w:bidi="ar-SA"/>
        </w:rPr>
        <w:t>2.具有良好的商业信誉和健全的财务会计制度（提供承诺函）。</w:t>
      </w:r>
    </w:p>
    <w:p w14:paraId="3A755442">
      <w:pPr>
        <w:keepNext w:val="0"/>
        <w:keepLines w:val="0"/>
        <w:pageBreakBefore w:val="0"/>
        <w:widowControl/>
        <w:numPr>
          <w:ilvl w:val="0"/>
          <w:numId w:val="0"/>
        </w:numPr>
        <w:kinsoku/>
        <w:wordWrap/>
        <w:overflowPunct/>
        <w:topLinePunct w:val="0"/>
        <w:autoSpaceDE/>
        <w:autoSpaceDN/>
        <w:bidi w:val="0"/>
        <w:snapToGrid/>
        <w:spacing w:after="0" w:afterLines="0" w:line="360" w:lineRule="auto"/>
        <w:ind w:right="-1" w:rightChars="0" w:firstLine="440" w:firstLineChars="200"/>
        <w:jc w:val="left"/>
        <w:rPr>
          <w:rFonts w:hint="eastAsia" w:ascii="Arial" w:hAnsi="Arial" w:eastAsia="等线" w:cs="Arial"/>
          <w:snapToGrid/>
          <w:color w:val="auto"/>
          <w:kern w:val="0"/>
          <w:sz w:val="22"/>
          <w:szCs w:val="22"/>
          <w:lang w:val="en-US" w:eastAsia="zh-CN" w:bidi="ar-SA"/>
        </w:rPr>
      </w:pPr>
      <w:r>
        <w:rPr>
          <w:rFonts w:hint="eastAsia" w:ascii="Arial" w:hAnsi="Arial" w:eastAsia="等线" w:cs="Arial"/>
          <w:snapToGrid/>
          <w:color w:val="auto"/>
          <w:kern w:val="0"/>
          <w:sz w:val="22"/>
          <w:szCs w:val="22"/>
          <w:lang w:val="en-US" w:eastAsia="zh-CN" w:bidi="ar-SA"/>
        </w:rPr>
        <w:t>3.具有履行合同所必需的设备和专业技术能力；</w:t>
      </w:r>
      <w:r>
        <w:rPr>
          <w:rFonts w:hint="eastAsia" w:eastAsia="等线" w:cs="Arial"/>
          <w:snapToGrid/>
          <w:color w:val="auto"/>
          <w:kern w:val="0"/>
          <w:sz w:val="22"/>
          <w:szCs w:val="22"/>
          <w:lang w:val="en-US" w:eastAsia="zh-CN" w:bidi="ar-SA"/>
        </w:rPr>
        <w:t>（提供营业执照）</w:t>
      </w:r>
    </w:p>
    <w:p w14:paraId="09EA0F4B">
      <w:pPr>
        <w:keepNext w:val="0"/>
        <w:keepLines w:val="0"/>
        <w:pageBreakBefore w:val="0"/>
        <w:widowControl/>
        <w:numPr>
          <w:ilvl w:val="0"/>
          <w:numId w:val="0"/>
        </w:numPr>
        <w:kinsoku/>
        <w:wordWrap/>
        <w:overflowPunct/>
        <w:topLinePunct w:val="0"/>
        <w:autoSpaceDE/>
        <w:autoSpaceDN/>
        <w:bidi w:val="0"/>
        <w:snapToGrid/>
        <w:spacing w:after="0" w:afterLines="0" w:line="360" w:lineRule="auto"/>
        <w:ind w:right="-1" w:rightChars="0" w:firstLine="440" w:firstLineChars="200"/>
        <w:jc w:val="left"/>
        <w:rPr>
          <w:rFonts w:hint="eastAsia" w:ascii="Arial" w:hAnsi="Arial" w:eastAsia="等线" w:cs="Arial"/>
          <w:snapToGrid/>
          <w:color w:val="auto"/>
          <w:kern w:val="0"/>
          <w:sz w:val="22"/>
          <w:szCs w:val="22"/>
          <w:lang w:val="en-US" w:eastAsia="zh-CN" w:bidi="ar-SA"/>
        </w:rPr>
      </w:pPr>
      <w:r>
        <w:rPr>
          <w:rFonts w:hint="eastAsia" w:eastAsia="等线" w:cs="Arial"/>
          <w:snapToGrid/>
          <w:color w:val="auto"/>
          <w:kern w:val="0"/>
          <w:sz w:val="22"/>
          <w:szCs w:val="22"/>
          <w:lang w:val="en-US" w:eastAsia="zh-CN" w:bidi="ar-SA"/>
        </w:rPr>
        <w:t>4</w:t>
      </w:r>
      <w:r>
        <w:rPr>
          <w:rFonts w:hint="eastAsia" w:ascii="Arial" w:hAnsi="Arial" w:eastAsia="等线" w:cs="Arial"/>
          <w:snapToGrid/>
          <w:color w:val="auto"/>
          <w:kern w:val="0"/>
          <w:sz w:val="22"/>
          <w:szCs w:val="22"/>
          <w:lang w:val="en-US" w:eastAsia="zh-CN" w:bidi="ar-SA"/>
        </w:rPr>
        <w:t>.参加本次比价活动前三年内，在经营活动中没有重大违法记录（提供承诺函）。</w:t>
      </w:r>
    </w:p>
    <w:p w14:paraId="20C5FD1E">
      <w:pPr>
        <w:pStyle w:val="13"/>
        <w:ind w:firstLine="440" w:firstLineChars="200"/>
        <w:rPr>
          <w:rFonts w:hint="default" w:eastAsia="仿宋_GB2312"/>
          <w:sz w:val="28"/>
          <w:szCs w:val="28"/>
          <w:lang w:val="en-US" w:eastAsia="zh-CN"/>
        </w:rPr>
      </w:pPr>
      <w:r>
        <w:rPr>
          <w:rFonts w:hint="eastAsia" w:ascii="Arial" w:hAnsi="Arial" w:eastAsia="等线" w:cs="Arial"/>
          <w:snapToGrid/>
          <w:color w:val="auto"/>
          <w:kern w:val="0"/>
          <w:sz w:val="22"/>
          <w:szCs w:val="22"/>
          <w:lang w:val="en-US" w:eastAsia="zh-CN" w:bidi="ar-SA"/>
        </w:rPr>
        <w:t>5.本项目不接受联合体参与比选；</w:t>
      </w:r>
    </w:p>
    <w:p w14:paraId="183613E9">
      <w:pPr>
        <w:pStyle w:val="9"/>
        <w:ind w:left="0" w:leftChars="0" w:firstLine="0" w:firstLineChars="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
          <w:bCs w:val="0"/>
          <w:sz w:val="28"/>
          <w:szCs w:val="28"/>
          <w:lang w:val="en-US" w:eastAsia="zh-CN"/>
        </w:rPr>
        <w:t xml:space="preserve"> 注：上述资料均加盖公司鲜章。</w:t>
      </w:r>
    </w:p>
    <w:p w14:paraId="017890F1">
      <w:pPr>
        <w:pStyle w:val="13"/>
        <w:numPr>
          <w:ilvl w:val="0"/>
          <w:numId w:val="0"/>
        </w:numPr>
        <w:ind w:firstLine="643" w:firstLineChars="200"/>
        <w:jc w:val="both"/>
        <w:rPr>
          <w:rFonts w:hint="eastAsia" w:ascii="方正仿宋_GB2312" w:hAnsi="方正仿宋_GB2312" w:eastAsia="方正仿宋_GB2312" w:cs="方正仿宋_GB2312"/>
          <w:b/>
          <w:bCs/>
          <w:color w:val="000000"/>
          <w:kern w:val="0"/>
          <w:sz w:val="32"/>
          <w:szCs w:val="32"/>
          <w:vertAlign w:val="baseline"/>
          <w:lang w:val="en-US" w:eastAsia="zh-CN" w:bidi="ar-SA"/>
        </w:rPr>
      </w:pPr>
      <w:r>
        <w:rPr>
          <w:rFonts w:hint="eastAsia" w:ascii="方正仿宋_GB2312" w:hAnsi="方正仿宋_GB2312" w:eastAsia="方正仿宋_GB2312" w:cs="方正仿宋_GB2312"/>
          <w:b/>
          <w:bCs/>
          <w:color w:val="000000"/>
          <w:kern w:val="0"/>
          <w:sz w:val="32"/>
          <w:szCs w:val="32"/>
          <w:vertAlign w:val="baseline"/>
          <w:lang w:val="en-US" w:eastAsia="zh-CN" w:bidi="ar-SA"/>
        </w:rPr>
        <w:t>二、服务内容及要求</w:t>
      </w:r>
    </w:p>
    <w:p w14:paraId="6A6F25FD">
      <w:pPr>
        <w:pStyle w:val="13"/>
        <w:numPr>
          <w:ilvl w:val="0"/>
          <w:numId w:val="0"/>
        </w:numPr>
        <w:ind w:firstLine="440" w:firstLineChars="200"/>
        <w:jc w:val="both"/>
        <w:rPr>
          <w:rFonts w:hint="default" w:ascii="方正仿宋_GB2312" w:hAnsi="方正仿宋_GB2312" w:eastAsia="方正仿宋_GB2312" w:cs="方正仿宋_GB2312"/>
          <w:b/>
          <w:bCs/>
          <w:color w:val="000000"/>
          <w:kern w:val="0"/>
          <w:sz w:val="32"/>
          <w:szCs w:val="32"/>
          <w:vertAlign w:val="baseline"/>
          <w:lang w:val="en-US" w:eastAsia="zh-CN" w:bidi="ar-SA"/>
        </w:rPr>
      </w:pPr>
      <w:r>
        <w:rPr>
          <w:rFonts w:hint="eastAsia" w:eastAsia="等线" w:cs="Arial"/>
          <w:snapToGrid/>
          <w:color w:val="auto"/>
          <w:kern w:val="0"/>
          <w:sz w:val="22"/>
          <w:szCs w:val="22"/>
          <w:lang w:val="en-US" w:eastAsia="zh-CN" w:bidi="ar-SA"/>
        </w:rPr>
        <w:t>根据清单计价规范或相关规定，对新增单价汇总表（附件3、4）进行逐项单价市场询价并出具询价报告</w:t>
      </w:r>
      <w:r>
        <w:rPr>
          <w:rFonts w:hint="eastAsia" w:ascii="Arial" w:hAnsi="Arial" w:eastAsia="等线" w:cs="Arial"/>
          <w:snapToGrid/>
          <w:color w:val="auto"/>
          <w:kern w:val="0"/>
          <w:sz w:val="22"/>
          <w:szCs w:val="22"/>
          <w:lang w:val="en-US" w:eastAsia="zh-CN" w:bidi="ar-SA"/>
        </w:rPr>
        <w:t>。</w:t>
      </w:r>
    </w:p>
    <w:p w14:paraId="3B8E42FD">
      <w:pPr>
        <w:pStyle w:val="13"/>
        <w:numPr>
          <w:ilvl w:val="0"/>
          <w:numId w:val="0"/>
        </w:numPr>
        <w:ind w:firstLine="643" w:firstLineChars="200"/>
        <w:jc w:val="both"/>
        <w:rPr>
          <w:rFonts w:hint="default" w:ascii="方正仿宋_GB2312" w:hAnsi="方正仿宋_GB2312" w:eastAsia="方正仿宋_GB2312" w:cs="方正仿宋_GB2312"/>
          <w:b/>
          <w:bCs/>
          <w:color w:val="auto"/>
          <w:kern w:val="0"/>
          <w:sz w:val="32"/>
          <w:szCs w:val="32"/>
          <w:vertAlign w:val="baseline"/>
          <w:lang w:val="en-US" w:eastAsia="zh-CN" w:bidi="ar-SA"/>
        </w:rPr>
      </w:pPr>
      <w:r>
        <w:rPr>
          <w:rFonts w:hint="eastAsia" w:ascii="方正仿宋_GB2312" w:hAnsi="方正仿宋_GB2312" w:eastAsia="方正仿宋_GB2312" w:cs="方正仿宋_GB2312"/>
          <w:b/>
          <w:bCs/>
          <w:color w:val="000000"/>
          <w:kern w:val="0"/>
          <w:sz w:val="32"/>
          <w:szCs w:val="32"/>
          <w:vertAlign w:val="baseline"/>
          <w:lang w:val="en-US" w:eastAsia="zh-CN" w:bidi="ar-SA"/>
        </w:rPr>
        <w:t>三、商务要求</w:t>
      </w:r>
    </w:p>
    <w:p w14:paraId="139353DD">
      <w:pPr>
        <w:pStyle w:val="14"/>
        <w:numPr>
          <w:ilvl w:val="0"/>
          <w:numId w:val="0"/>
        </w:numPr>
        <w:ind w:firstLine="440" w:firstLineChars="200"/>
      </w:pPr>
      <w:r>
        <w:rPr>
          <w:rFonts w:hint="eastAsia"/>
          <w:b/>
          <w:bCs/>
          <w:color w:val="auto"/>
          <w:lang w:val="en-US" w:eastAsia="zh-CN"/>
        </w:rPr>
        <w:t>1.</w:t>
      </w:r>
      <w:r>
        <w:rPr>
          <w:rFonts w:hint="eastAsia"/>
          <w:b/>
          <w:bCs/>
          <w:color w:val="auto"/>
          <w:lang w:eastAsia="zh-CN"/>
        </w:rPr>
        <w:t>工期时间</w:t>
      </w:r>
      <w:r>
        <w:rPr>
          <w:color w:val="auto"/>
        </w:rPr>
        <w:t>：自合同签订之日起</w:t>
      </w:r>
      <w:r>
        <w:rPr>
          <w:rFonts w:hint="eastAsia"/>
          <w:color w:val="auto"/>
          <w:lang w:val="en-US" w:eastAsia="zh-CN"/>
        </w:rPr>
        <w:t>15</w:t>
      </w:r>
      <w:r>
        <w:rPr>
          <w:color w:val="auto"/>
        </w:rPr>
        <w:t>日</w:t>
      </w:r>
      <w:r>
        <w:rPr>
          <w:rFonts w:hint="eastAsia"/>
          <w:lang w:eastAsia="zh-CN"/>
        </w:rPr>
        <w:t>完工</w:t>
      </w:r>
      <w:r>
        <w:t>。</w:t>
      </w:r>
    </w:p>
    <w:p w14:paraId="2517EC10">
      <w:pPr>
        <w:pStyle w:val="14"/>
        <w:numPr>
          <w:ilvl w:val="0"/>
          <w:numId w:val="0"/>
        </w:numPr>
        <w:ind w:leftChars="0" w:firstLine="440" w:firstLineChars="200"/>
      </w:pPr>
      <w:r>
        <w:rPr>
          <w:rFonts w:hint="eastAsia"/>
          <w:b/>
          <w:bCs/>
          <w:lang w:val="en-US" w:eastAsia="zh-CN"/>
        </w:rPr>
        <w:t>2.</w:t>
      </w:r>
      <w:r>
        <w:rPr>
          <w:rFonts w:hint="eastAsia"/>
          <w:b/>
          <w:bCs/>
          <w:lang w:eastAsia="zh-CN"/>
        </w:rPr>
        <w:t>服务地点</w:t>
      </w:r>
      <w:r>
        <w:t>：宜宾市</w:t>
      </w:r>
      <w:r>
        <w:rPr>
          <w:rFonts w:hint="eastAsia"/>
        </w:rPr>
        <w:t>高县中医医院</w:t>
      </w:r>
      <w:r>
        <w:t>。</w:t>
      </w:r>
      <w:bookmarkStart w:id="0" w:name="_GoBack"/>
      <w:bookmarkEnd w:id="0"/>
    </w:p>
    <w:p w14:paraId="41A7BE52">
      <w:pPr>
        <w:pStyle w:val="14"/>
        <w:numPr>
          <w:ilvl w:val="0"/>
          <w:numId w:val="0"/>
        </w:numPr>
        <w:ind w:leftChars="0" w:firstLine="440" w:firstLineChars="200"/>
        <w:rPr>
          <w:rFonts w:hint="eastAsia"/>
        </w:rPr>
      </w:pPr>
      <w:r>
        <w:rPr>
          <w:rFonts w:hint="eastAsia"/>
          <w:b/>
          <w:bCs/>
          <w:lang w:val="en-US" w:eastAsia="zh-CN"/>
        </w:rPr>
        <w:t>3.履约保证金：</w:t>
      </w:r>
      <w:r>
        <w:rPr>
          <w:rFonts w:hint="eastAsia"/>
          <w:lang w:val="en-US" w:eastAsia="zh-CN"/>
        </w:rPr>
        <w:t>不收取履约保证金</w:t>
      </w:r>
      <w:r>
        <w:rPr>
          <w:rFonts w:hint="default"/>
        </w:rPr>
        <w:t>。</w:t>
      </w:r>
    </w:p>
    <w:p w14:paraId="5A5B8FC6">
      <w:pPr>
        <w:pStyle w:val="14"/>
        <w:numPr>
          <w:ilvl w:val="0"/>
          <w:numId w:val="0"/>
        </w:numPr>
        <w:ind w:leftChars="0" w:firstLine="440" w:firstLineChars="200"/>
        <w:rPr>
          <w:rFonts w:hint="eastAsia"/>
          <w:lang w:val="en-US" w:eastAsia="zh-CN"/>
        </w:rPr>
      </w:pPr>
      <w:r>
        <w:rPr>
          <w:rFonts w:hint="eastAsia"/>
          <w:b/>
          <w:bCs/>
          <w:lang w:val="en-US" w:eastAsia="zh-CN"/>
        </w:rPr>
        <w:t>3.验收方式：</w:t>
      </w:r>
      <w:r>
        <w:rPr>
          <w:rFonts w:hint="eastAsia"/>
          <w:lang w:val="en-US" w:eastAsia="zh-CN"/>
        </w:rPr>
        <w:t>按国家有关规定以及采购要求的标准质量和技术指标(包括每一项技术和商务要求的履约情况)、供应商的响应文件及承诺与合同约定标准进行验收；采购双方如对质量要求和技术指标的约定标准有相互抵触或异议的事项，由我院在国家有关规定、采购文件、响应文件及承诺与采购合同约定中按质量要求和技术指标比较优胜的原则确定该项的约定标准进行验收。</w:t>
      </w:r>
    </w:p>
    <w:p w14:paraId="5D389414">
      <w:pPr>
        <w:pStyle w:val="14"/>
        <w:numPr>
          <w:ilvl w:val="0"/>
          <w:numId w:val="0"/>
        </w:numPr>
        <w:ind w:leftChars="0" w:firstLine="440" w:firstLineChars="200"/>
        <w:jc w:val="both"/>
        <w:rPr>
          <w:rFonts w:hint="eastAsia"/>
          <w:lang w:val="en-US" w:eastAsia="zh-CN"/>
        </w:rPr>
      </w:pPr>
      <w:r>
        <w:rPr>
          <w:rFonts w:hint="eastAsia"/>
          <w:b/>
          <w:bCs/>
          <w:lang w:val="en-US" w:eastAsia="zh-CN"/>
        </w:rPr>
        <w:t>4.</w:t>
      </w:r>
      <w:r>
        <w:rPr>
          <w:b/>
          <w:bCs/>
        </w:rPr>
        <w:t>付款方式</w:t>
      </w:r>
      <w:r>
        <w:t>：</w:t>
      </w:r>
      <w:r>
        <w:rPr>
          <w:rFonts w:hint="eastAsia"/>
          <w:lang w:val="en-US" w:eastAsia="zh-CN"/>
        </w:rPr>
        <w:t>一次性付清，经采购人验收合格后，收到供应商提交的与合同总价相一致的合法、有效、完整的完税发票及凭证资料，通过采购人付款审签流程后15日内一次性支付合同总金额100%的款项。</w:t>
      </w:r>
    </w:p>
    <w:p w14:paraId="18006806">
      <w:pPr>
        <w:pStyle w:val="14"/>
        <w:numPr>
          <w:ilvl w:val="0"/>
          <w:numId w:val="0"/>
        </w:numPr>
        <w:ind w:firstLine="440" w:firstLineChars="200"/>
        <w:rPr>
          <w:rFonts w:hint="eastAsia"/>
          <w:lang w:val="en-US" w:eastAsia="zh-CN"/>
        </w:rPr>
      </w:pPr>
      <w:r>
        <w:rPr>
          <w:rFonts w:hint="eastAsia"/>
          <w:b/>
          <w:bCs/>
          <w:lang w:val="en-US" w:eastAsia="zh-CN"/>
        </w:rPr>
        <w:t>5.违约责任与解决争议的方法：</w:t>
      </w:r>
      <w:r>
        <w:rPr>
          <w:rFonts w:hint="eastAsia"/>
          <w:lang w:val="en-US" w:eastAsia="zh-CN"/>
        </w:rPr>
        <w:t>政府采购合同的履行、违约责任和解决争议的方法等适用《中华人民共和国民法典》。</w:t>
      </w:r>
    </w:p>
    <w:p w14:paraId="17AE9FF2">
      <w:pPr>
        <w:pStyle w:val="13"/>
        <w:numPr>
          <w:ilvl w:val="0"/>
          <w:numId w:val="0"/>
        </w:numPr>
        <w:ind w:firstLine="643" w:firstLineChars="200"/>
        <w:jc w:val="both"/>
        <w:rPr>
          <w:rFonts w:hint="eastAsia" w:ascii="方正仿宋_GB2312" w:hAnsi="方正仿宋_GB2312" w:eastAsia="方正仿宋_GB2312" w:cs="方正仿宋_GB2312"/>
          <w:b/>
          <w:bCs/>
          <w:color w:val="000000"/>
          <w:kern w:val="0"/>
          <w:sz w:val="32"/>
          <w:szCs w:val="32"/>
          <w:vertAlign w:val="baseline"/>
          <w:lang w:val="en-US" w:eastAsia="zh-CN" w:bidi="ar-SA"/>
        </w:rPr>
      </w:pPr>
      <w:r>
        <w:rPr>
          <w:rFonts w:hint="eastAsia" w:ascii="方正仿宋_GB2312" w:hAnsi="方正仿宋_GB2312" w:eastAsia="方正仿宋_GB2312" w:cs="方正仿宋_GB2312"/>
          <w:b/>
          <w:bCs/>
          <w:color w:val="000000"/>
          <w:kern w:val="0"/>
          <w:sz w:val="32"/>
          <w:szCs w:val="32"/>
          <w:vertAlign w:val="baseline"/>
          <w:lang w:val="en-US" w:eastAsia="zh-CN" w:bidi="ar-SA"/>
        </w:rPr>
        <w:t>四、报价要求</w:t>
      </w:r>
    </w:p>
    <w:p w14:paraId="631D65F1">
      <w:pPr>
        <w:pStyle w:val="9"/>
        <w:numPr>
          <w:ilvl w:val="0"/>
          <w:numId w:val="0"/>
        </w:numPr>
        <w:ind w:firstLine="480" w:firstLineChars="200"/>
        <w:jc w:val="both"/>
        <w:rPr>
          <w:rFonts w:hint="eastAsia" w:ascii="仿宋_GB2312" w:hAnsi="仿宋_GB2312" w:eastAsia="仿宋_GB2312" w:cs="仿宋_GB2312"/>
          <w:color w:val="FF0000"/>
          <w:sz w:val="32"/>
          <w:szCs w:val="32"/>
          <w:lang w:val="en-US" w:eastAsia="zh-CN"/>
        </w:rPr>
      </w:pPr>
      <w:r>
        <w:rPr>
          <w:rFonts w:hint="eastAsia" w:ascii="Arial" w:hAnsi="Arial" w:eastAsia="宋体" w:cs="Arial"/>
          <w:color w:val="000000"/>
          <w:sz w:val="24"/>
          <w:szCs w:val="24"/>
          <w:lang w:val="en-US" w:eastAsia="zh-CN" w:bidi="ar-SA"/>
        </w:rPr>
        <w:t>项目最高限价</w:t>
      </w:r>
      <w:r>
        <w:rPr>
          <w:rFonts w:hint="eastAsia" w:ascii="Arial" w:hAnsi="Arial" w:eastAsia="宋体" w:cs="Arial"/>
          <w:color w:val="auto"/>
          <w:sz w:val="24"/>
          <w:szCs w:val="24"/>
          <w:lang w:val="en-US" w:eastAsia="zh-CN" w:bidi="ar-SA"/>
        </w:rPr>
        <w:t>：</w:t>
      </w:r>
      <w:r>
        <w:rPr>
          <w:rFonts w:hint="eastAsia" w:ascii="Arial" w:hAnsi="Arial" w:cs="Arial"/>
          <w:color w:val="000000"/>
          <w:sz w:val="24"/>
          <w:szCs w:val="24"/>
          <w:lang w:val="en-US" w:eastAsia="zh-CN" w:bidi="ar-SA"/>
        </w:rPr>
        <w:t>1.98</w:t>
      </w:r>
      <w:r>
        <w:rPr>
          <w:rFonts w:hint="eastAsia" w:ascii="Arial" w:hAnsi="Arial" w:eastAsia="宋体" w:cs="Arial"/>
          <w:color w:val="000000"/>
          <w:sz w:val="24"/>
          <w:szCs w:val="24"/>
          <w:lang w:val="en-US" w:eastAsia="zh-CN" w:bidi="ar-SA"/>
        </w:rPr>
        <w:t>万元，报价应包含与该项目有关的人工、设备、税费等一切费用。</w:t>
      </w:r>
    </w:p>
    <w:p w14:paraId="4400DD84">
      <w:pPr>
        <w:pStyle w:val="8"/>
        <w:numPr>
          <w:ilvl w:val="0"/>
          <w:numId w:val="0"/>
        </w:numPr>
        <w:spacing w:line="360" w:lineRule="auto"/>
        <w:ind w:leftChars="0" w:firstLine="321" w:firstLineChars="100"/>
        <w:rPr>
          <w:rFonts w:hint="eastAsia" w:ascii="方正仿宋_GB2312" w:hAnsi="方正仿宋_GB2312" w:eastAsia="方正仿宋_GB2312" w:cs="方正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b/>
          <w:bCs/>
          <w:sz w:val="32"/>
          <w:szCs w:val="32"/>
          <w:lang w:val="en-US" w:eastAsia="zh-CN"/>
        </w:rPr>
        <w:t>注：</w:t>
      </w:r>
      <w:r>
        <w:rPr>
          <w:rFonts w:hint="eastAsia" w:ascii="仿宋_GB2312" w:hAnsi="仿宋_GB2312" w:eastAsia="仿宋_GB2312" w:cs="仿宋_GB2312"/>
          <w:b/>
          <w:bCs/>
          <w:color w:val="auto"/>
          <w:kern w:val="2"/>
          <w:sz w:val="32"/>
          <w:szCs w:val="32"/>
          <w:highlight w:val="none"/>
          <w:lang w:val="en-US" w:eastAsia="zh-CN" w:bidi="ar-SA"/>
        </w:rPr>
        <w:t>本章采购要求中的条款为本次采购项目的实质性要求，供应商应全部满足，否则视为响应文件无效。</w:t>
      </w: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F3A2509-EB53-4B79-B7ED-F0130267B423}"/>
  </w:font>
  <w:font w:name="黑体">
    <w:altName w:val="宋体"/>
    <w:panose1 w:val="02010609060101010101"/>
    <w:charset w:val="86"/>
    <w:family w:val="auto"/>
    <w:pitch w:val="default"/>
    <w:sig w:usb0="800002BF" w:usb1="38CF7CFA" w:usb2="00000016" w:usb3="00000000" w:csb0="00040001" w:csb1="00000000"/>
    <w:embedRegular r:id="rId2" w:fontKey="{EA683FCD-5C08-46B6-A96A-71DF739FB03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001010101"/>
    <w:charset w:val="86"/>
    <w:family w:val="auto"/>
    <w:pitch w:val="default"/>
    <w:sig w:usb0="00000000" w:usb1="00000000" w:usb2="00000016" w:usb3="00000000" w:csb0="0004000F" w:csb1="00000000"/>
    <w:embedRegular r:id="rId3" w:fontKey="{777CBA80-AC7D-41EA-9FC5-83F8B47E2D56}"/>
  </w:font>
  <w:font w:name="微软雅黑">
    <w:panose1 w:val="020B0503020204020204"/>
    <w:charset w:val="86"/>
    <w:family w:val="auto"/>
    <w:pitch w:val="default"/>
    <w:sig w:usb0="80000287" w:usb1="280F3C52"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4" w:fontKey="{110F19EF-69E0-43E2-8A2C-8FC59B4BED44}"/>
  </w:font>
  <w:font w:name="Arial Unicode MS">
    <w:panose1 w:val="020B0604020202020204"/>
    <w:charset w:val="86"/>
    <w:family w:val="auto"/>
    <w:pitch w:val="default"/>
    <w:sig w:usb0="FFFFFFFF" w:usb1="E9FFFFFF" w:usb2="0000003F" w:usb3="00000000" w:csb0="603F01FF" w:csb1="FFFF0000"/>
    <w:embedRegular r:id="rId5" w:fontKey="{A5DC238A-FC57-400B-AE5A-85889F09DD08}"/>
  </w:font>
  <w:font w:name="仿宋_GB2312">
    <w:altName w:val="仿宋"/>
    <w:panose1 w:val="02010609030101010101"/>
    <w:charset w:val="86"/>
    <w:family w:val="auto"/>
    <w:pitch w:val="default"/>
    <w:sig w:usb0="00000000" w:usb1="00000000" w:usb2="00000000" w:usb3="00000000" w:csb0="00040000" w:csb1="00000000"/>
    <w:embedRegular r:id="rId6" w:fontKey="{1601257A-052A-425A-9F75-E86B804C431C}"/>
  </w:font>
  <w:font w:name="仿宋">
    <w:panose1 w:val="02010609060101010101"/>
    <w:charset w:val="86"/>
    <w:family w:val="auto"/>
    <w:pitch w:val="default"/>
    <w:sig w:usb0="800002BF" w:usb1="38CF7CFA" w:usb2="00000016" w:usb3="00000000" w:csb0="00040001" w:csb1="00000000"/>
  </w:font>
  <w:font w:name="WPSEMBED1">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2185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3BA1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23BA1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bullet"/>
      <w:pStyle w:val="16"/>
      <w:lvlText w:val="-"/>
      <w:lvlJc w:val="left"/>
      <w:pPr>
        <w:tabs>
          <w:tab w:val="left" w:pos="785"/>
        </w:tabs>
        <w:ind w:left="420" w:firstLine="5"/>
      </w:pPr>
      <w:rPr>
        <w:rFonts w:hint="eastAsia" w:ascii="宋体" w:hAnsi="Wingdings" w:eastAsia="宋体"/>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zNDk4N2M1NTliNmJjMDJlZDljYjE3OGU5YzM1ZTkifQ=="/>
  </w:docVars>
  <w:rsids>
    <w:rsidRoot w:val="797A28EE"/>
    <w:rsid w:val="048D4113"/>
    <w:rsid w:val="08BA1ECD"/>
    <w:rsid w:val="0B442625"/>
    <w:rsid w:val="0CE21123"/>
    <w:rsid w:val="0E542079"/>
    <w:rsid w:val="0EEA7E55"/>
    <w:rsid w:val="16962931"/>
    <w:rsid w:val="17750CA3"/>
    <w:rsid w:val="1A17118B"/>
    <w:rsid w:val="1C2B7D21"/>
    <w:rsid w:val="1C3500A0"/>
    <w:rsid w:val="1D1135A6"/>
    <w:rsid w:val="1D5F2712"/>
    <w:rsid w:val="20CE0ED9"/>
    <w:rsid w:val="241D03D1"/>
    <w:rsid w:val="24776234"/>
    <w:rsid w:val="27F02ECD"/>
    <w:rsid w:val="295777A0"/>
    <w:rsid w:val="29AA6040"/>
    <w:rsid w:val="29BB1C64"/>
    <w:rsid w:val="2C463FDB"/>
    <w:rsid w:val="2EE3621E"/>
    <w:rsid w:val="2EF67B70"/>
    <w:rsid w:val="311B7355"/>
    <w:rsid w:val="34382FF1"/>
    <w:rsid w:val="353D596D"/>
    <w:rsid w:val="3704274F"/>
    <w:rsid w:val="37EE7B0E"/>
    <w:rsid w:val="3A37597E"/>
    <w:rsid w:val="3D3B655D"/>
    <w:rsid w:val="40D276CD"/>
    <w:rsid w:val="417664B6"/>
    <w:rsid w:val="466B2BA2"/>
    <w:rsid w:val="4E552276"/>
    <w:rsid w:val="4E8C4B89"/>
    <w:rsid w:val="55063FDD"/>
    <w:rsid w:val="58FB735E"/>
    <w:rsid w:val="59627A81"/>
    <w:rsid w:val="64F5163D"/>
    <w:rsid w:val="713169C7"/>
    <w:rsid w:val="7246077D"/>
    <w:rsid w:val="72717AF6"/>
    <w:rsid w:val="72FC1993"/>
    <w:rsid w:val="734C56DF"/>
    <w:rsid w:val="73EE02CC"/>
    <w:rsid w:val="797A28EE"/>
    <w:rsid w:val="7B7B75DA"/>
    <w:rsid w:val="7BDA6192"/>
    <w:rsid w:val="7FDF7CB5"/>
    <w:rsid w:val="DDFBD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annotation text"/>
    <w:basedOn w:val="1"/>
    <w:qFormat/>
    <w:uiPriority w:val="0"/>
    <w:pPr>
      <w:jc w:val="left"/>
    </w:pPr>
  </w:style>
  <w:style w:type="paragraph" w:styleId="5">
    <w:name w:val="Body Text Indent"/>
    <w:basedOn w:val="1"/>
    <w:qFormat/>
    <w:uiPriority w:val="0"/>
    <w:pPr>
      <w:ind w:firstLine="538" w:firstLineChars="192"/>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2"/>
    <w:unhideWhenUsed/>
    <w:qFormat/>
    <w:uiPriority w:val="99"/>
    <w:pPr>
      <w:ind w:firstLine="420" w:firstLineChars="100"/>
    </w:pPr>
  </w:style>
  <w:style w:type="paragraph" w:styleId="9">
    <w:name w:val="Body Text First Indent 2"/>
    <w:basedOn w:val="5"/>
    <w:qFormat/>
    <w:uiPriority w:val="0"/>
    <w:pPr>
      <w:spacing w:after="120"/>
      <w:ind w:left="420" w:leftChars="200" w:firstLine="420" w:firstLineChars="200"/>
    </w:pPr>
    <w:rPr>
      <w:rFonts w:ascii="Calibri" w:hAnsi="Calibri" w:eastAsia="宋体" w:cs="Times New Roman"/>
      <w:sz w:val="21"/>
      <w:szCs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4">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15">
    <w:name w:val="U_正文2"/>
    <w:basedOn w:val="1"/>
    <w:qFormat/>
    <w:uiPriority w:val="0"/>
    <w:pPr>
      <w:spacing w:before="31" w:beforeLines="10" w:after="31" w:afterLines="10" w:line="300" w:lineRule="auto"/>
    </w:pPr>
    <w:rPr>
      <w:kern w:val="2"/>
      <w:sz w:val="24"/>
    </w:rPr>
  </w:style>
  <w:style w:type="paragraph" w:customStyle="1" w:styleId="16">
    <w:name w:val="U_编号2"/>
    <w:basedOn w:val="1"/>
    <w:qFormat/>
    <w:uiPriority w:val="0"/>
    <w:pPr>
      <w:numPr>
        <w:ilvl w:val="0"/>
        <w:numId w:val="1"/>
      </w:numPr>
      <w:spacing w:before="31" w:beforeLines="10" w:after="31" w:afterLines="10" w:line="300" w:lineRule="auto"/>
    </w:pPr>
    <w:rPr>
      <w:sz w:val="24"/>
      <w:szCs w:val="20"/>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styleId="18">
    <w:name w:val="Quote"/>
    <w:basedOn w:val="1"/>
    <w:next w:val="1"/>
    <w:qFormat/>
    <w:uiPriority w:val="0"/>
    <w:pPr>
      <w:ind w:left="864" w:right="864"/>
      <w:jc w:val="center"/>
    </w:pPr>
    <w:rPr>
      <w:i/>
      <w:color w:val="40404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653</Words>
  <Characters>671</Characters>
  <Lines>0</Lines>
  <Paragraphs>0</Paragraphs>
  <TotalTime>7</TotalTime>
  <ScaleCrop>false</ScaleCrop>
  <LinksUpToDate>false</LinksUpToDate>
  <CharactersWithSpaces>677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2025-03-03T10:20:00Z</dcterms:created>
  <dc:creator>詹功强</dc:creator>
  <cp:lastModifiedBy>王旭</cp:lastModifiedBy>
  <cp:lastPrinted>2026-03-19T16:19:00Z</cp:lastPrinted>
  <dcterms:modified xsi:type="dcterms:W3CDTF">2026-07-13T08:24:51Z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717305EAF00548E39BBD39417A6C3EEF_13</vt:lpwstr>
  </property>
  <property fmtid="{D5CDD505-2E9C-101B-9397-08002B2CF9AE}" pid="4" name="KSOTemplateDocerSaveRecord">
    <vt:lpwstr>eyJoZGlkIjoiNzc5YTdkNjg0NGZhYmEyZGM3NmJiMTM5NzBmY2RmNDAiLCJ1c2VySWQiOiIxNjUxMjY5MTU1In0=</vt:lpwstr>
  </property>
</Properties>
</file>