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DFC6F">
      <w:pPr>
        <w:rPr>
          <w:rFonts w:hint="eastAsia" w:ascii="黑体" w:hAnsi="黑体" w:eastAsia="黑体" w:cs="黑体"/>
          <w:i w:val="0"/>
          <w:iCs w:val="0"/>
          <w:caps w:val="0"/>
          <w:color w:val="000000"/>
          <w:spacing w:val="0"/>
          <w:sz w:val="44"/>
          <w:szCs w:val="44"/>
          <w:shd w:val="clear" w:fill="FFFFFF"/>
          <w:vertAlign w:val="baseline"/>
          <w:lang w:val="en-US" w:eastAsia="zh-CN"/>
        </w:rPr>
      </w:pPr>
      <w:r>
        <w:rPr>
          <w:rFonts w:hint="eastAsia" w:ascii="方正仿宋_GB2312" w:hAnsi="方正仿宋_GB2312" w:eastAsia="方正仿宋_GB2312" w:cs="方正仿宋_GB2312"/>
          <w:sz w:val="32"/>
          <w:szCs w:val="32"/>
          <w:lang w:val="en-US" w:eastAsia="zh-CN"/>
        </w:rPr>
        <w:t>附件1：</w:t>
      </w:r>
    </w:p>
    <w:p w14:paraId="3694B581">
      <w:pPr>
        <w:jc w:val="center"/>
        <w:rPr>
          <w:rFonts w:hint="eastAsia" w:ascii="Arial Unicode MS" w:hAnsi="Arial Unicode MS" w:eastAsia="Arial Unicode MS" w:cs="Arial Unicode MS"/>
          <w:color w:val="000000"/>
          <w:kern w:val="0"/>
          <w:sz w:val="44"/>
          <w:szCs w:val="44"/>
          <w:vertAlign w:val="baseline"/>
          <w:lang w:val="en-US" w:eastAsia="zh-CN" w:bidi="ar-SA"/>
        </w:rPr>
      </w:pPr>
      <w:r>
        <w:rPr>
          <w:rFonts w:hint="eastAsia" w:ascii="Arial Unicode MS" w:hAnsi="Arial Unicode MS" w:eastAsia="Arial Unicode MS" w:cs="Arial Unicode MS"/>
          <w:sz w:val="44"/>
          <w:szCs w:val="44"/>
          <w:lang w:val="en-US" w:eastAsia="zh-CN"/>
        </w:rPr>
        <w:t>采 购 要 求</w:t>
      </w:r>
    </w:p>
    <w:p w14:paraId="03F0BEDE">
      <w:pPr>
        <w:pStyle w:val="13"/>
        <w:numPr>
          <w:ilvl w:val="0"/>
          <w:numId w:val="0"/>
        </w:numPr>
        <w:ind w:firstLine="562" w:firstLineChars="200"/>
        <w:jc w:val="both"/>
        <w:rPr>
          <w:rFonts w:hint="eastAsia" w:ascii="方正仿宋_GB2312" w:hAnsi="方正仿宋_GB2312" w:eastAsia="方正仿宋_GB2312" w:cs="方正仿宋_GB2312"/>
          <w:b/>
          <w:bCs/>
          <w:color w:val="000000"/>
          <w:kern w:val="0"/>
          <w:sz w:val="28"/>
          <w:szCs w:val="28"/>
          <w:vertAlign w:val="baseline"/>
          <w:lang w:val="en-US" w:eastAsia="zh-CN" w:bidi="ar-SA"/>
        </w:rPr>
      </w:pPr>
    </w:p>
    <w:p w14:paraId="6DD60D17">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一、供应商资质</w:t>
      </w:r>
    </w:p>
    <w:p w14:paraId="3C8D6E2B">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1.具有独立承担民事责任的能力（提供承诺函）。</w:t>
      </w:r>
    </w:p>
    <w:p w14:paraId="6847F63E">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2.具有良好的商业信誉和健全的财务会计制度（提供承诺函）。</w:t>
      </w:r>
    </w:p>
    <w:p w14:paraId="59D5023D">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3.具有履行合同所必需的设备和专业技术能力（提供营业执照）</w:t>
      </w:r>
    </w:p>
    <w:p w14:paraId="09EA0F4B">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4.参加本次比价活动前三年内，在经营活动中没有重大违法记录（提供承诺函）。</w:t>
      </w:r>
    </w:p>
    <w:p w14:paraId="20C5FD1E">
      <w:pPr>
        <w:pStyle w:val="13"/>
        <w:ind w:firstLine="440" w:firstLineChars="200"/>
        <w:rPr>
          <w:rFonts w:hint="default" w:eastAsia="仿宋_GB2312"/>
          <w:sz w:val="28"/>
          <w:szCs w:val="28"/>
          <w:lang w:val="en-US" w:eastAsia="zh-CN"/>
        </w:rPr>
      </w:pPr>
      <w:r>
        <w:rPr>
          <w:rFonts w:hint="eastAsia" w:ascii="Arial" w:hAnsi="Arial" w:eastAsia="等线" w:cs="Arial"/>
          <w:snapToGrid/>
          <w:color w:val="auto"/>
          <w:kern w:val="0"/>
          <w:sz w:val="22"/>
          <w:szCs w:val="22"/>
          <w:lang w:val="en-US" w:eastAsia="zh-CN" w:bidi="ar-SA"/>
        </w:rPr>
        <w:t>5.本项目不接受联合体参与比选；</w:t>
      </w:r>
    </w:p>
    <w:p w14:paraId="71D43567">
      <w:pPr>
        <w:pStyle w:val="19"/>
        <w:keepNext w:val="0"/>
        <w:keepLines w:val="0"/>
        <w:pageBreakBefore w:val="0"/>
        <w:widowControl/>
        <w:numPr>
          <w:ilvl w:val="0"/>
          <w:numId w:val="0"/>
        </w:numPr>
        <w:kinsoku/>
        <w:wordWrap/>
        <w:overflowPunct/>
        <w:topLinePunct w:val="0"/>
        <w:autoSpaceDE/>
        <w:autoSpaceDN/>
        <w:bidi w:val="0"/>
        <w:adjustRightInd/>
        <w:snapToGrid/>
        <w:spacing w:line="360" w:lineRule="auto"/>
        <w:ind w:firstLine="440" w:firstLineChars="200"/>
        <w:jc w:val="left"/>
        <w:textAlignment w:val="auto"/>
        <w:outlineLvl w:val="1"/>
        <w:rPr>
          <w:rFonts w:hint="default" w:ascii="仿宋_GB2312" w:hAnsi="仿宋_GB2312" w:eastAsia="仿宋_GB2312" w:cs="仿宋_GB2312"/>
          <w:b/>
          <w:bCs w:val="0"/>
          <w:sz w:val="28"/>
          <w:szCs w:val="28"/>
          <w:lang w:val="en-US" w:eastAsia="zh-CN"/>
        </w:rPr>
      </w:pPr>
      <w:r>
        <w:rPr>
          <w:rFonts w:hint="eastAsia" w:ascii="Arial" w:hAnsi="Arial" w:eastAsia="等线" w:cs="Arial"/>
          <w:snapToGrid/>
          <w:color w:val="auto"/>
          <w:kern w:val="0"/>
          <w:sz w:val="22"/>
          <w:szCs w:val="22"/>
          <w:lang w:val="en-US" w:eastAsia="zh-CN" w:bidi="ar-SA"/>
        </w:rPr>
        <w:t>6.特定资格要求：具有检验检测机构资质认定（CMA资质），认定范围包含污水水质、空气污染。（描述：具有检验检测机构资质认定（CMA资质），认定范围包含污水水质、空气污染。（提供有效证件复印件））</w:t>
      </w:r>
    </w:p>
    <w:p w14:paraId="183613E9">
      <w:pPr>
        <w:pStyle w:val="9"/>
        <w:ind w:left="0" w:leftChars="0" w:firstLine="0" w:firstLineChars="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
          <w:bCs w:val="0"/>
          <w:sz w:val="28"/>
          <w:szCs w:val="28"/>
          <w:lang w:val="en-US" w:eastAsia="zh-CN"/>
        </w:rPr>
        <w:t>注：上述资料均加盖公司鲜章。</w:t>
      </w:r>
    </w:p>
    <w:p w14:paraId="017890F1">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二、服务要求</w:t>
      </w:r>
    </w:p>
    <w:p w14:paraId="287F8A1D">
      <w:pPr>
        <w:pStyle w:val="19"/>
        <w:spacing w:before="285" w:after="285"/>
        <w:ind w:firstLine="482" w:firstLineChars="200"/>
        <w:jc w:val="both"/>
        <w:outlineLvl w:val="1"/>
        <w:rPr>
          <w:rFonts w:hint="eastAsia" w:ascii="宋体" w:hAnsi="宋体" w:eastAsia="宋体" w:cs="宋体"/>
          <w:sz w:val="24"/>
          <w:szCs w:val="24"/>
        </w:rPr>
      </w:pPr>
      <w:r>
        <w:rPr>
          <w:rFonts w:hint="eastAsia" w:ascii="宋体" w:hAnsi="宋体" w:eastAsia="宋体" w:cs="宋体"/>
          <w:b/>
          <w:sz w:val="24"/>
          <w:szCs w:val="24"/>
        </w:rPr>
        <w:t>（一）服务内容</w:t>
      </w:r>
    </w:p>
    <w:p w14:paraId="324BA1DD">
      <w:pPr>
        <w:pStyle w:val="19"/>
        <w:ind w:firstLine="480"/>
        <w:jc w:val="both"/>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1、供应商按照院方及《医疗机构水污染物排放标准》GB 18466-2005要求提供检测服务。</w:t>
      </w:r>
    </w:p>
    <w:p w14:paraId="78B7F139">
      <w:pPr>
        <w:pStyle w:val="19"/>
        <w:spacing w:before="285" w:after="285"/>
        <w:ind w:firstLine="482" w:firstLineChars="200"/>
        <w:jc w:val="both"/>
        <w:outlineLvl w:val="1"/>
        <w:rPr>
          <w:rFonts w:hint="eastAsia" w:ascii="宋体" w:hAnsi="宋体" w:eastAsia="宋体" w:cs="宋体"/>
          <w:b/>
          <w:sz w:val="24"/>
          <w:szCs w:val="24"/>
        </w:rPr>
      </w:pPr>
      <w:r>
        <w:rPr>
          <w:rFonts w:hint="eastAsia" w:ascii="宋体" w:hAnsi="宋体" w:eastAsia="宋体" w:cs="宋体"/>
          <w:b/>
          <w:sz w:val="24"/>
          <w:szCs w:val="24"/>
        </w:rPr>
        <w:t>（二）服务标准要求</w:t>
      </w:r>
    </w:p>
    <w:p w14:paraId="1922D7CD">
      <w:pPr>
        <w:pStyle w:val="19"/>
        <w:spacing w:before="285" w:after="285"/>
        <w:ind w:firstLine="440" w:firstLineChars="200"/>
        <w:jc w:val="both"/>
        <w:outlineLvl w:val="1"/>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1、所有检测样本由供应商自行上门提取，并保证工作中采样、检测、运输、储存、检测等所有环节按照相应规范进行。若发现检测过程不规范，院方有权要求对相关指标进行复检，且不支付费用。</w:t>
      </w:r>
    </w:p>
    <w:p w14:paraId="34344B84">
      <w:pPr>
        <w:pStyle w:val="19"/>
        <w:ind w:firstLine="480"/>
        <w:jc w:val="both"/>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2、供应商应接受院方按照实验室相关质控程序对采样和检测过程进行的监督，如设置质控样、检测数据比对、现场监督检查等。</w:t>
      </w:r>
    </w:p>
    <w:p w14:paraId="61051AE1">
      <w:pPr>
        <w:pStyle w:val="19"/>
        <w:ind w:firstLine="480"/>
        <w:jc w:val="both"/>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3、污水和废气检测方法符合《医疗机构水污染物排放标准》GB 18466-2005相关标准。</w:t>
      </w:r>
    </w:p>
    <w:p w14:paraId="7AD61243">
      <w:pPr>
        <w:pStyle w:val="19"/>
        <w:ind w:firstLine="480"/>
        <w:jc w:val="both"/>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4、每个采样点应有2名以上工作人员到现场采样，工作人员应经过相关培训。若供应商发现检测结果不合格，应有程序或措施保证在第一时间及时上报院方。</w:t>
      </w:r>
    </w:p>
    <w:p w14:paraId="7A7F5FF8">
      <w:pPr>
        <w:pStyle w:val="19"/>
        <w:ind w:firstLine="480"/>
        <w:jc w:val="both"/>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5、所有检测报告的所有权归院方，供应商应遵守保密承诺，未经允许不得引用、复制或随意泄露。</w:t>
      </w:r>
    </w:p>
    <w:p w14:paraId="34731F65">
      <w:pPr>
        <w:pStyle w:val="19"/>
        <w:ind w:firstLine="480"/>
        <w:jc w:val="both"/>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6、每月检测任务完成后，供应商应于次月10日前向院方报送检测报告原件一式两份、数据汇总月报表原件及电子版汇总表各1份，并保存好所有原始记录备查。</w:t>
      </w:r>
    </w:p>
    <w:p w14:paraId="6D5E6CB2">
      <w:pPr>
        <w:pStyle w:val="19"/>
        <w:ind w:firstLine="480"/>
        <w:jc w:val="both"/>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7、在完成全年所有检测任务后1个月内提供项目工作总结，向院方提交总结报告纸质版1份和电子版。</w:t>
      </w:r>
    </w:p>
    <w:p w14:paraId="5A8BFF27">
      <w:pPr>
        <w:pStyle w:val="19"/>
        <w:ind w:firstLine="480"/>
        <w:jc w:val="both"/>
        <w:rPr>
          <w:rFonts w:hint="eastAsia" w:ascii="仿宋" w:hAnsi="仿宋" w:eastAsia="仿宋" w:cs="仿宋"/>
          <w:b w:val="0"/>
          <w:bCs w:val="0"/>
          <w:color w:val="auto"/>
          <w:sz w:val="24"/>
          <w:szCs w:val="24"/>
          <w:highlight w:val="none"/>
          <w:lang w:val="en-US" w:eastAsia="zh-CN"/>
        </w:rPr>
      </w:pPr>
      <w:r>
        <w:rPr>
          <w:rFonts w:hint="eastAsia" w:ascii="Arial" w:hAnsi="Arial" w:eastAsia="等线" w:cs="Arial"/>
          <w:snapToGrid/>
          <w:color w:val="auto"/>
          <w:kern w:val="0"/>
          <w:sz w:val="22"/>
          <w:szCs w:val="22"/>
          <w:lang w:val="en-US" w:eastAsia="zh-CN" w:bidi="ar-SA"/>
        </w:rPr>
        <w:t>8、供应商应保证检测结果的准确性、合法性，对检测结果负全部责任；若是因为供应商自身原因导致检测结果出错，供应商应重新进行检测，不得收取额外的费用，并且因结果出错造成的后果由供应商负责；供应商应按照院方要求的检测频次进行检测，检测周期内超过院方要求的检测频次的，院方不支付额外费用；如果是院方因工作需要新增的检测要求，院方据实结算</w:t>
      </w:r>
      <w:r>
        <w:rPr>
          <w:rFonts w:hint="eastAsia" w:ascii="仿宋" w:hAnsi="仿宋" w:eastAsia="仿宋" w:cs="仿宋"/>
          <w:b w:val="0"/>
          <w:bCs w:val="0"/>
          <w:color w:val="auto"/>
          <w:sz w:val="24"/>
          <w:szCs w:val="24"/>
          <w:highlight w:val="none"/>
          <w:lang w:val="en-US" w:eastAsia="zh-CN"/>
        </w:rPr>
        <w:t>。</w:t>
      </w:r>
    </w:p>
    <w:p w14:paraId="471347FD">
      <w:pPr>
        <w:pStyle w:val="19"/>
        <w:ind w:firstLine="482" w:firstLineChars="200"/>
        <w:jc w:val="both"/>
        <w:rPr>
          <w:rFonts w:hint="eastAsia" w:ascii="宋体" w:hAnsi="宋体" w:eastAsia="宋体" w:cs="宋体"/>
          <w:sz w:val="24"/>
          <w:szCs w:val="24"/>
          <w:lang w:eastAsia="zh-CN"/>
        </w:rPr>
      </w:pPr>
      <w:r>
        <w:rPr>
          <w:rFonts w:hint="eastAsia" w:ascii="宋体" w:hAnsi="宋体" w:eastAsia="宋体" w:cs="宋体"/>
          <w:b/>
          <w:sz w:val="24"/>
          <w:szCs w:val="24"/>
          <w:lang w:eastAsia="zh-CN"/>
        </w:rPr>
        <w:t>（三）服务点位及要求</w:t>
      </w:r>
    </w:p>
    <w:tbl>
      <w:tblPr>
        <w:tblStyle w:val="10"/>
        <w:tblpPr w:leftFromText="180" w:rightFromText="180" w:vertAnchor="text" w:horzAnchor="page" w:tblpX="1774" w:tblpY="596"/>
        <w:tblOverlap w:val="never"/>
        <w:tblW w:w="82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1"/>
        <w:gridCol w:w="1173"/>
        <w:gridCol w:w="873"/>
        <w:gridCol w:w="3136"/>
        <w:gridCol w:w="1323"/>
        <w:gridCol w:w="954"/>
      </w:tblGrid>
      <w:tr w14:paraId="2C059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250" w:type="dxa"/>
            <w:gridSpan w:val="6"/>
            <w:noWrap w:val="0"/>
            <w:vAlign w:val="top"/>
          </w:tcPr>
          <w:p w14:paraId="54E0AC71">
            <w:pPr>
              <w:pStyle w:val="20"/>
              <w:spacing w:before="62"/>
              <w:ind w:left="94" w:right="87"/>
              <w:jc w:val="center"/>
              <w:rPr>
                <w:rFonts w:hint="default" w:eastAsia="宋体"/>
                <w:b/>
                <w:sz w:val="21"/>
                <w:lang w:val="en-US" w:eastAsia="zh-CN"/>
              </w:rPr>
            </w:pPr>
            <w:bookmarkStart w:id="0" w:name="OLE_LINK1"/>
            <w:r>
              <w:rPr>
                <w:rFonts w:hint="eastAsia" w:ascii="宋体" w:hAnsi="宋体" w:eastAsia="宋体" w:cs="宋体"/>
                <w:b/>
                <w:bCs/>
                <w:i w:val="0"/>
                <w:iCs w:val="0"/>
                <w:color w:val="000000"/>
                <w:kern w:val="0"/>
                <w:sz w:val="32"/>
                <w:szCs w:val="32"/>
                <w:u w:val="none"/>
                <w:lang w:val="en-US" w:eastAsia="zh-CN" w:bidi="ar"/>
              </w:rPr>
              <w:t>新院区《排污许可证》环境管理要求监测</w:t>
            </w:r>
          </w:p>
        </w:tc>
      </w:tr>
      <w:tr w14:paraId="4EAEB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91" w:type="dxa"/>
            <w:noWrap w:val="0"/>
            <w:vAlign w:val="center"/>
          </w:tcPr>
          <w:p w14:paraId="6AA2DA8C">
            <w:pPr>
              <w:pStyle w:val="20"/>
              <w:spacing w:before="62"/>
              <w:ind w:left="93" w:right="82"/>
              <w:jc w:val="center"/>
              <w:rPr>
                <w:b/>
                <w:sz w:val="21"/>
              </w:rPr>
            </w:pPr>
            <w:r>
              <w:rPr>
                <w:b/>
                <w:sz w:val="21"/>
              </w:rPr>
              <w:t>类型</w:t>
            </w:r>
          </w:p>
        </w:tc>
        <w:tc>
          <w:tcPr>
            <w:tcW w:w="1173" w:type="dxa"/>
            <w:noWrap w:val="0"/>
            <w:vAlign w:val="center"/>
          </w:tcPr>
          <w:p w14:paraId="66456EB9">
            <w:pPr>
              <w:pStyle w:val="20"/>
              <w:spacing w:before="62"/>
              <w:ind w:left="92" w:right="78"/>
              <w:jc w:val="center"/>
              <w:rPr>
                <w:b/>
                <w:sz w:val="21"/>
              </w:rPr>
            </w:pPr>
            <w:r>
              <w:rPr>
                <w:b/>
                <w:sz w:val="21"/>
              </w:rPr>
              <w:t>监测点位</w:t>
            </w:r>
          </w:p>
        </w:tc>
        <w:tc>
          <w:tcPr>
            <w:tcW w:w="873" w:type="dxa"/>
            <w:noWrap w:val="0"/>
            <w:vAlign w:val="center"/>
          </w:tcPr>
          <w:p w14:paraId="58D20B20">
            <w:pPr>
              <w:pStyle w:val="20"/>
              <w:spacing w:before="62"/>
              <w:ind w:left="92" w:leftChars="0" w:right="81" w:rightChars="0"/>
              <w:jc w:val="center"/>
              <w:rPr>
                <w:rFonts w:hint="eastAsia" w:ascii="宋体" w:hAnsi="宋体" w:eastAsia="宋体" w:cs="宋体"/>
                <w:b/>
                <w:sz w:val="21"/>
                <w:szCs w:val="22"/>
                <w:lang w:val="en-US" w:eastAsia="zh-CN" w:bidi="ar-SA"/>
              </w:rPr>
            </w:pPr>
            <w:r>
              <w:rPr>
                <w:rFonts w:hint="eastAsia" w:ascii="宋体" w:hAnsi="宋体" w:eastAsia="宋体" w:cs="宋体"/>
                <w:b/>
                <w:sz w:val="21"/>
                <w:szCs w:val="22"/>
                <w:lang w:val="en-US" w:eastAsia="zh-CN" w:bidi="ar-SA"/>
              </w:rPr>
              <w:t>排放口</w:t>
            </w:r>
          </w:p>
          <w:p w14:paraId="3A77A9D9">
            <w:pPr>
              <w:pStyle w:val="20"/>
              <w:spacing w:before="62"/>
              <w:ind w:left="92" w:leftChars="0" w:right="81" w:rightChars="0"/>
              <w:jc w:val="center"/>
              <w:rPr>
                <w:rFonts w:hint="default" w:eastAsia="宋体"/>
                <w:b/>
                <w:sz w:val="21"/>
                <w:lang w:val="en-US" w:eastAsia="zh-CN"/>
              </w:rPr>
            </w:pPr>
            <w:r>
              <w:rPr>
                <w:rFonts w:hint="eastAsia" w:ascii="宋体" w:hAnsi="宋体" w:eastAsia="宋体" w:cs="宋体"/>
                <w:b/>
                <w:sz w:val="21"/>
                <w:szCs w:val="22"/>
                <w:lang w:val="en-US" w:eastAsia="zh-CN" w:bidi="ar-SA"/>
              </w:rPr>
              <w:t>编号</w:t>
            </w:r>
          </w:p>
        </w:tc>
        <w:tc>
          <w:tcPr>
            <w:tcW w:w="3136" w:type="dxa"/>
            <w:noWrap w:val="0"/>
            <w:vAlign w:val="center"/>
          </w:tcPr>
          <w:p w14:paraId="5B6746FA">
            <w:pPr>
              <w:pStyle w:val="20"/>
              <w:spacing w:before="62"/>
              <w:ind w:left="92" w:right="81"/>
              <w:jc w:val="center"/>
              <w:rPr>
                <w:b/>
                <w:sz w:val="21"/>
              </w:rPr>
            </w:pPr>
            <w:r>
              <w:rPr>
                <w:b/>
                <w:sz w:val="21"/>
              </w:rPr>
              <w:t>监测因子</w:t>
            </w:r>
          </w:p>
        </w:tc>
        <w:tc>
          <w:tcPr>
            <w:tcW w:w="1323" w:type="dxa"/>
            <w:noWrap w:val="0"/>
            <w:vAlign w:val="center"/>
          </w:tcPr>
          <w:p w14:paraId="533E82AE">
            <w:pPr>
              <w:pStyle w:val="20"/>
              <w:spacing w:before="62"/>
              <w:ind w:left="107" w:right="95"/>
              <w:jc w:val="center"/>
              <w:rPr>
                <w:b/>
                <w:sz w:val="21"/>
              </w:rPr>
            </w:pPr>
            <w:r>
              <w:rPr>
                <w:b/>
                <w:color w:val="auto"/>
                <w:sz w:val="21"/>
                <w:shd w:val="clear" w:color="auto" w:fill="auto"/>
              </w:rPr>
              <w:t>最低</w:t>
            </w:r>
            <w:r>
              <w:rPr>
                <w:b/>
                <w:sz w:val="21"/>
              </w:rPr>
              <w:t>监测频次</w:t>
            </w:r>
          </w:p>
        </w:tc>
        <w:tc>
          <w:tcPr>
            <w:tcW w:w="954" w:type="dxa"/>
            <w:noWrap w:val="0"/>
            <w:vAlign w:val="center"/>
          </w:tcPr>
          <w:p w14:paraId="21C36905">
            <w:pPr>
              <w:pStyle w:val="20"/>
              <w:spacing w:before="62"/>
              <w:ind w:left="94" w:right="87"/>
              <w:jc w:val="center"/>
              <w:rPr>
                <w:b/>
                <w:sz w:val="21"/>
              </w:rPr>
            </w:pPr>
            <w:r>
              <w:rPr>
                <w:b/>
                <w:sz w:val="21"/>
              </w:rPr>
              <w:t>备注</w:t>
            </w:r>
          </w:p>
        </w:tc>
      </w:tr>
      <w:tr w14:paraId="1AE13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91" w:type="dxa"/>
            <w:noWrap w:val="0"/>
            <w:vAlign w:val="center"/>
          </w:tcPr>
          <w:p w14:paraId="7F84662D">
            <w:pPr>
              <w:pStyle w:val="20"/>
              <w:spacing w:before="178"/>
              <w:ind w:right="87"/>
              <w:jc w:val="center"/>
              <w:rPr>
                <w:rFonts w:hint="eastAsia" w:ascii="宋体" w:hAnsi="宋体" w:eastAsia="宋体" w:cs="宋体"/>
                <w:sz w:val="18"/>
                <w:szCs w:val="18"/>
              </w:rPr>
            </w:pPr>
            <w:r>
              <w:rPr>
                <w:rFonts w:hint="eastAsia" w:ascii="宋体" w:hAnsi="宋体" w:eastAsia="宋体" w:cs="宋体"/>
                <w:sz w:val="18"/>
                <w:szCs w:val="18"/>
              </w:rPr>
              <w:t>废气</w:t>
            </w:r>
          </w:p>
        </w:tc>
        <w:tc>
          <w:tcPr>
            <w:tcW w:w="1173" w:type="dxa"/>
            <w:noWrap w:val="0"/>
            <w:vAlign w:val="center"/>
          </w:tcPr>
          <w:p w14:paraId="3DF8BCA0">
            <w:pPr>
              <w:pStyle w:val="20"/>
              <w:spacing w:before="22"/>
              <w:ind w:right="83"/>
              <w:jc w:val="center"/>
              <w:rPr>
                <w:rFonts w:hint="eastAsia" w:ascii="宋体" w:hAnsi="宋体" w:eastAsia="宋体" w:cs="宋体"/>
                <w:sz w:val="18"/>
                <w:szCs w:val="18"/>
              </w:rPr>
            </w:pPr>
            <w:r>
              <w:rPr>
                <w:rFonts w:hint="eastAsia" w:ascii="宋体" w:hAnsi="宋体" w:eastAsia="宋体" w:cs="宋体"/>
                <w:sz w:val="18"/>
                <w:szCs w:val="18"/>
              </w:rPr>
              <w:t>污水处</w:t>
            </w:r>
          </w:p>
          <w:p w14:paraId="1A4809FE">
            <w:pPr>
              <w:pStyle w:val="20"/>
              <w:spacing w:before="22"/>
              <w:ind w:right="83"/>
              <w:jc w:val="center"/>
              <w:rPr>
                <w:rFonts w:hint="eastAsia" w:ascii="宋体" w:hAnsi="宋体" w:eastAsia="宋体" w:cs="宋体"/>
                <w:sz w:val="18"/>
                <w:szCs w:val="18"/>
              </w:rPr>
            </w:pPr>
            <w:r>
              <w:rPr>
                <w:rFonts w:hint="eastAsia" w:ascii="宋体" w:hAnsi="宋体" w:eastAsia="宋体" w:cs="宋体"/>
                <w:sz w:val="18"/>
                <w:szCs w:val="18"/>
              </w:rPr>
              <w:t>站周界</w:t>
            </w:r>
          </w:p>
        </w:tc>
        <w:tc>
          <w:tcPr>
            <w:tcW w:w="873" w:type="dxa"/>
            <w:noWrap w:val="0"/>
            <w:vAlign w:val="center"/>
          </w:tcPr>
          <w:p w14:paraId="5B25E9B7">
            <w:pPr>
              <w:pStyle w:val="20"/>
              <w:spacing w:before="43"/>
              <w:ind w:left="92" w:right="86"/>
              <w:jc w:val="center"/>
              <w:rPr>
                <w:rFonts w:hint="eastAsia" w:ascii="宋体" w:hAnsi="宋体" w:eastAsia="宋体" w:cs="宋体"/>
                <w:sz w:val="18"/>
                <w:szCs w:val="18"/>
              </w:rPr>
            </w:pPr>
          </w:p>
          <w:p w14:paraId="347C0B2F">
            <w:pPr>
              <w:pStyle w:val="20"/>
              <w:spacing w:before="43"/>
              <w:ind w:left="92" w:leftChars="0" w:right="86" w:rightChars="0"/>
              <w:jc w:val="center"/>
              <w:rPr>
                <w:rFonts w:hint="eastAsia" w:ascii="宋体" w:hAnsi="宋体" w:eastAsia="宋体" w:cs="宋体"/>
                <w:sz w:val="18"/>
                <w:szCs w:val="18"/>
              </w:rPr>
            </w:pPr>
            <w:r>
              <w:rPr>
                <w:rFonts w:hint="eastAsia" w:ascii="宋体" w:hAnsi="宋体" w:eastAsia="宋体" w:cs="宋体"/>
                <w:sz w:val="18"/>
                <w:szCs w:val="18"/>
                <w:lang w:val="en-US" w:eastAsia="zh-CN"/>
              </w:rPr>
              <w:t>/</w:t>
            </w:r>
          </w:p>
          <w:p w14:paraId="65E97ACF">
            <w:pPr>
              <w:pStyle w:val="20"/>
              <w:spacing w:before="43"/>
              <w:ind w:left="92" w:right="86"/>
              <w:jc w:val="center"/>
              <w:rPr>
                <w:rFonts w:hint="eastAsia" w:ascii="宋体" w:hAnsi="宋体" w:eastAsia="宋体" w:cs="宋体"/>
                <w:sz w:val="18"/>
                <w:szCs w:val="18"/>
                <w:lang w:val="en-US" w:eastAsia="zh-CN"/>
              </w:rPr>
            </w:pPr>
          </w:p>
        </w:tc>
        <w:tc>
          <w:tcPr>
            <w:tcW w:w="3136" w:type="dxa"/>
            <w:noWrap w:val="0"/>
            <w:vAlign w:val="center"/>
          </w:tcPr>
          <w:p w14:paraId="331BE10A">
            <w:pPr>
              <w:pStyle w:val="20"/>
              <w:spacing w:before="22"/>
              <w:ind w:right="86"/>
              <w:jc w:val="center"/>
              <w:rPr>
                <w:rFonts w:hint="eastAsia" w:ascii="宋体" w:hAnsi="宋体" w:eastAsia="宋体" w:cs="宋体"/>
                <w:sz w:val="18"/>
                <w:szCs w:val="18"/>
              </w:rPr>
            </w:pPr>
            <w:r>
              <w:rPr>
                <w:rFonts w:hint="eastAsia" w:ascii="宋体" w:hAnsi="宋体" w:eastAsia="宋体" w:cs="宋体"/>
                <w:sz w:val="18"/>
                <w:szCs w:val="18"/>
              </w:rPr>
              <w:t>甲烷、臭气浓度、氨（氨气）、氯</w:t>
            </w:r>
            <w:r>
              <w:rPr>
                <w:rFonts w:hint="eastAsia" w:ascii="宋体" w:hAnsi="宋体" w:eastAsia="宋体" w:cs="宋体"/>
                <w:sz w:val="18"/>
                <w:szCs w:val="18"/>
                <w:lang w:eastAsia="zh-CN"/>
              </w:rPr>
              <w:t>、</w:t>
            </w:r>
            <w:r>
              <w:rPr>
                <w:rFonts w:hint="eastAsia" w:ascii="宋体" w:hAnsi="宋体" w:eastAsia="宋体" w:cs="宋体"/>
                <w:sz w:val="18"/>
                <w:szCs w:val="18"/>
              </w:rPr>
              <w:t>硫化氢</w:t>
            </w:r>
          </w:p>
        </w:tc>
        <w:tc>
          <w:tcPr>
            <w:tcW w:w="1323" w:type="dxa"/>
            <w:noWrap w:val="0"/>
            <w:vAlign w:val="center"/>
          </w:tcPr>
          <w:p w14:paraId="0EB0CEDF">
            <w:pPr>
              <w:pStyle w:val="20"/>
              <w:spacing w:before="178"/>
              <w:ind w:right="95"/>
              <w:jc w:val="center"/>
              <w:rPr>
                <w:rFonts w:hint="eastAsia" w:ascii="宋体" w:hAnsi="宋体" w:eastAsia="宋体" w:cs="宋体"/>
                <w:sz w:val="18"/>
                <w:szCs w:val="18"/>
                <w:lang w:val="en-US" w:eastAsia="zh-CN"/>
              </w:rPr>
            </w:pPr>
            <w:r>
              <w:rPr>
                <w:rFonts w:hint="eastAsia" w:ascii="宋体" w:hAnsi="宋体" w:eastAsia="宋体" w:cs="宋体"/>
                <w:sz w:val="18"/>
                <w:szCs w:val="18"/>
              </w:rPr>
              <w:t>1 次/季</w:t>
            </w:r>
            <w:r>
              <w:rPr>
                <w:rFonts w:hint="eastAsia" w:ascii="宋体" w:hAnsi="宋体" w:eastAsia="宋体" w:cs="宋体"/>
                <w:sz w:val="18"/>
                <w:szCs w:val="18"/>
                <w:lang w:val="en-US" w:eastAsia="zh-CN"/>
              </w:rPr>
              <w:t>度</w:t>
            </w:r>
          </w:p>
        </w:tc>
        <w:tc>
          <w:tcPr>
            <w:tcW w:w="954" w:type="dxa"/>
            <w:noWrap w:val="0"/>
            <w:vAlign w:val="center"/>
          </w:tcPr>
          <w:p w14:paraId="0AC02BC9">
            <w:pPr>
              <w:pStyle w:val="20"/>
              <w:spacing w:before="22"/>
              <w:ind w:right="87"/>
              <w:jc w:val="center"/>
              <w:rPr>
                <w:rFonts w:hint="eastAsia" w:ascii="宋体" w:hAnsi="宋体" w:eastAsia="宋体" w:cs="宋体"/>
                <w:sz w:val="18"/>
                <w:szCs w:val="18"/>
              </w:rPr>
            </w:pPr>
          </w:p>
        </w:tc>
      </w:tr>
      <w:tr w14:paraId="28DC2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791" w:type="dxa"/>
            <w:vMerge w:val="restart"/>
            <w:tcBorders>
              <w:top w:val="nil"/>
            </w:tcBorders>
            <w:noWrap w:val="0"/>
            <w:vAlign w:val="center"/>
          </w:tcPr>
          <w:p w14:paraId="7BD3E553">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废水</w:t>
            </w:r>
          </w:p>
        </w:tc>
        <w:tc>
          <w:tcPr>
            <w:tcW w:w="1173" w:type="dxa"/>
            <w:vMerge w:val="restart"/>
            <w:tcBorders>
              <w:top w:val="nil"/>
            </w:tcBorders>
            <w:noWrap w:val="0"/>
            <w:vAlign w:val="center"/>
          </w:tcPr>
          <w:p w14:paraId="32572E2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总排放口</w:t>
            </w:r>
          </w:p>
        </w:tc>
        <w:tc>
          <w:tcPr>
            <w:tcW w:w="873" w:type="dxa"/>
            <w:vMerge w:val="restart"/>
            <w:noWrap w:val="0"/>
            <w:vAlign w:val="center"/>
          </w:tcPr>
          <w:p w14:paraId="137B0CFE">
            <w:pPr>
              <w:pStyle w:val="21"/>
              <w:spacing w:before="71" w:line="183" w:lineRule="auto"/>
              <w:ind w:left="121"/>
              <w:rPr>
                <w:rFonts w:hint="default" w:ascii="宋体" w:hAnsi="宋体" w:eastAsia="宋体" w:cs="宋体"/>
                <w:sz w:val="18"/>
                <w:szCs w:val="18"/>
                <w:lang w:val="en-US" w:eastAsia="zh-CN"/>
              </w:rPr>
            </w:pPr>
            <w:r>
              <w:rPr>
                <w:spacing w:val="-2"/>
                <w:sz w:val="22"/>
                <w:szCs w:val="22"/>
              </w:rPr>
              <w:t>DWO0</w:t>
            </w:r>
            <w:r>
              <w:rPr>
                <w:sz w:val="22"/>
                <w:szCs w:val="22"/>
              </w:rPr>
              <w:t>1</w:t>
            </w:r>
          </w:p>
        </w:tc>
        <w:tc>
          <w:tcPr>
            <w:tcW w:w="3136" w:type="dxa"/>
            <w:noWrap w:val="0"/>
            <w:vAlign w:val="center"/>
          </w:tcPr>
          <w:p w14:paraId="7D6722B3">
            <w:pPr>
              <w:pStyle w:val="20"/>
              <w:spacing w:before="21"/>
              <w:ind w:right="83"/>
              <w:jc w:val="center"/>
              <w:rPr>
                <w:rFonts w:hint="eastAsia" w:ascii="宋体" w:hAnsi="宋体" w:eastAsia="宋体" w:cs="宋体"/>
                <w:sz w:val="18"/>
                <w:szCs w:val="18"/>
                <w:lang w:eastAsia="zh-CN"/>
              </w:rPr>
            </w:pPr>
            <w:r>
              <w:rPr>
                <w:color w:val="auto"/>
                <w:spacing w:val="-1"/>
                <w:sz w:val="22"/>
                <w:szCs w:val="22"/>
              </w:rPr>
              <w:t>pH值</w:t>
            </w:r>
          </w:p>
        </w:tc>
        <w:tc>
          <w:tcPr>
            <w:tcW w:w="1323" w:type="dxa"/>
            <w:noWrap w:val="0"/>
            <w:vAlign w:val="center"/>
          </w:tcPr>
          <w:p w14:paraId="0145B2B3">
            <w:pPr>
              <w:pStyle w:val="20"/>
              <w:spacing w:before="21"/>
              <w:ind w:right="83"/>
              <w:jc w:val="center"/>
              <w:rPr>
                <w:rFonts w:hint="eastAsia" w:ascii="宋体" w:hAnsi="宋体" w:eastAsia="宋体" w:cs="宋体"/>
                <w:sz w:val="18"/>
                <w:szCs w:val="18"/>
              </w:rPr>
            </w:pPr>
            <w:r>
              <w:rPr>
                <w:color w:val="auto"/>
                <w:spacing w:val="1"/>
                <w:sz w:val="22"/>
                <w:szCs w:val="22"/>
              </w:rPr>
              <w:t>1次/12h</w:t>
            </w:r>
          </w:p>
        </w:tc>
        <w:tc>
          <w:tcPr>
            <w:tcW w:w="954" w:type="dxa"/>
            <w:vMerge w:val="restart"/>
            <w:noWrap w:val="0"/>
            <w:vAlign w:val="center"/>
          </w:tcPr>
          <w:p w14:paraId="5414E566">
            <w:pPr>
              <w:pStyle w:val="20"/>
              <w:spacing w:before="21"/>
              <w:ind w:right="83"/>
              <w:jc w:val="center"/>
              <w:rPr>
                <w:rFonts w:hint="eastAsia" w:ascii="宋体" w:hAnsi="宋体" w:eastAsia="宋体" w:cs="宋体"/>
                <w:sz w:val="18"/>
                <w:szCs w:val="18"/>
              </w:rPr>
            </w:pPr>
          </w:p>
        </w:tc>
      </w:tr>
      <w:tr w14:paraId="31E7A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791" w:type="dxa"/>
            <w:vMerge w:val="continue"/>
            <w:noWrap w:val="0"/>
            <w:vAlign w:val="center"/>
          </w:tcPr>
          <w:p w14:paraId="56AAA143">
            <w:pPr>
              <w:pStyle w:val="20"/>
              <w:spacing w:before="21"/>
              <w:ind w:right="83"/>
              <w:jc w:val="center"/>
            </w:pPr>
          </w:p>
        </w:tc>
        <w:tc>
          <w:tcPr>
            <w:tcW w:w="1173" w:type="dxa"/>
            <w:vMerge w:val="continue"/>
            <w:noWrap w:val="0"/>
            <w:vAlign w:val="center"/>
          </w:tcPr>
          <w:p w14:paraId="1B11EB05">
            <w:pPr>
              <w:pStyle w:val="20"/>
              <w:spacing w:before="21"/>
              <w:ind w:right="83"/>
              <w:jc w:val="center"/>
            </w:pPr>
          </w:p>
        </w:tc>
        <w:tc>
          <w:tcPr>
            <w:tcW w:w="873" w:type="dxa"/>
            <w:vMerge w:val="continue"/>
            <w:noWrap w:val="0"/>
            <w:vAlign w:val="center"/>
          </w:tcPr>
          <w:p w14:paraId="5967E493">
            <w:pPr>
              <w:pStyle w:val="20"/>
              <w:spacing w:before="21"/>
              <w:ind w:right="83"/>
              <w:jc w:val="center"/>
            </w:pPr>
          </w:p>
        </w:tc>
        <w:tc>
          <w:tcPr>
            <w:tcW w:w="3136" w:type="dxa"/>
            <w:noWrap w:val="0"/>
            <w:vAlign w:val="center"/>
          </w:tcPr>
          <w:p w14:paraId="63C3FC9C">
            <w:pPr>
              <w:pStyle w:val="20"/>
              <w:spacing w:before="21"/>
              <w:ind w:right="83"/>
              <w:jc w:val="center"/>
              <w:rPr>
                <w:rFonts w:hint="eastAsia" w:ascii="宋体" w:hAnsi="宋体" w:eastAsia="宋体" w:cs="宋体"/>
                <w:sz w:val="18"/>
                <w:szCs w:val="18"/>
              </w:rPr>
            </w:pPr>
            <w:r>
              <w:rPr>
                <w:rFonts w:hint="eastAsia" w:ascii="宋体" w:hAnsi="宋体" w:eastAsia="宋体" w:cs="宋体"/>
                <w:sz w:val="18"/>
                <w:szCs w:val="18"/>
              </w:rPr>
              <w:t>化学需氧量</w:t>
            </w:r>
            <w:r>
              <w:rPr>
                <w:rFonts w:hint="eastAsia" w:ascii="宋体" w:hAnsi="宋体" w:eastAsia="宋体" w:cs="宋体"/>
                <w:sz w:val="18"/>
                <w:szCs w:val="18"/>
                <w:lang w:eastAsia="zh-CN"/>
              </w:rPr>
              <w:t>、</w:t>
            </w:r>
            <w:r>
              <w:rPr>
                <w:rFonts w:hint="eastAsia" w:ascii="宋体" w:hAnsi="宋体" w:eastAsia="宋体" w:cs="宋体"/>
                <w:sz w:val="18"/>
                <w:szCs w:val="18"/>
              </w:rPr>
              <w:t>悬浮物</w:t>
            </w:r>
          </w:p>
        </w:tc>
        <w:tc>
          <w:tcPr>
            <w:tcW w:w="1323" w:type="dxa"/>
            <w:noWrap w:val="0"/>
            <w:vAlign w:val="center"/>
          </w:tcPr>
          <w:p w14:paraId="010D3B14">
            <w:pPr>
              <w:pStyle w:val="20"/>
              <w:spacing w:before="21"/>
              <w:ind w:right="83"/>
              <w:jc w:val="center"/>
              <w:rPr>
                <w:rFonts w:hint="eastAsia" w:ascii="宋体" w:hAnsi="宋体" w:eastAsia="宋体" w:cs="宋体"/>
                <w:sz w:val="18"/>
                <w:szCs w:val="18"/>
              </w:rPr>
            </w:pPr>
            <w:r>
              <w:rPr>
                <w:rFonts w:hint="eastAsia" w:ascii="宋体" w:hAnsi="宋体" w:eastAsia="宋体" w:cs="宋体"/>
                <w:sz w:val="18"/>
                <w:szCs w:val="18"/>
              </w:rPr>
              <w:t>1 次/周</w:t>
            </w:r>
          </w:p>
        </w:tc>
        <w:tc>
          <w:tcPr>
            <w:tcW w:w="954" w:type="dxa"/>
            <w:vMerge w:val="continue"/>
            <w:noWrap w:val="0"/>
            <w:vAlign w:val="center"/>
          </w:tcPr>
          <w:p w14:paraId="6B6DE681">
            <w:pPr>
              <w:pStyle w:val="20"/>
              <w:spacing w:before="21"/>
              <w:ind w:right="83"/>
              <w:jc w:val="center"/>
              <w:rPr>
                <w:rFonts w:hint="eastAsia" w:ascii="宋体" w:hAnsi="宋体" w:eastAsia="宋体" w:cs="宋体"/>
                <w:sz w:val="18"/>
                <w:szCs w:val="18"/>
              </w:rPr>
            </w:pPr>
          </w:p>
        </w:tc>
      </w:tr>
      <w:tr w14:paraId="2920A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91" w:type="dxa"/>
            <w:vMerge w:val="continue"/>
            <w:noWrap w:val="0"/>
            <w:vAlign w:val="center"/>
          </w:tcPr>
          <w:p w14:paraId="78A97DA9">
            <w:pPr>
              <w:jc w:val="center"/>
              <w:rPr>
                <w:rFonts w:hint="eastAsia" w:ascii="宋体" w:hAnsi="宋体" w:eastAsia="宋体" w:cs="宋体"/>
                <w:sz w:val="18"/>
                <w:szCs w:val="18"/>
              </w:rPr>
            </w:pPr>
          </w:p>
        </w:tc>
        <w:tc>
          <w:tcPr>
            <w:tcW w:w="1173" w:type="dxa"/>
            <w:vMerge w:val="continue"/>
            <w:noWrap w:val="0"/>
            <w:vAlign w:val="center"/>
          </w:tcPr>
          <w:p w14:paraId="4309C564">
            <w:pPr>
              <w:jc w:val="center"/>
              <w:rPr>
                <w:rFonts w:hint="eastAsia" w:ascii="宋体" w:hAnsi="宋体" w:eastAsia="宋体" w:cs="宋体"/>
                <w:sz w:val="18"/>
                <w:szCs w:val="18"/>
              </w:rPr>
            </w:pPr>
          </w:p>
        </w:tc>
        <w:tc>
          <w:tcPr>
            <w:tcW w:w="873" w:type="dxa"/>
            <w:vMerge w:val="continue"/>
            <w:noWrap w:val="0"/>
            <w:vAlign w:val="center"/>
          </w:tcPr>
          <w:p w14:paraId="0EF87642">
            <w:pPr>
              <w:pStyle w:val="20"/>
              <w:spacing w:before="21"/>
              <w:ind w:left="92" w:right="83"/>
              <w:jc w:val="center"/>
              <w:rPr>
                <w:rFonts w:hint="eastAsia" w:ascii="宋体" w:hAnsi="宋体" w:eastAsia="宋体" w:cs="宋体"/>
                <w:sz w:val="18"/>
                <w:szCs w:val="18"/>
              </w:rPr>
            </w:pPr>
          </w:p>
        </w:tc>
        <w:tc>
          <w:tcPr>
            <w:tcW w:w="3136" w:type="dxa"/>
            <w:noWrap w:val="0"/>
            <w:vAlign w:val="center"/>
          </w:tcPr>
          <w:p w14:paraId="74717A6F">
            <w:pPr>
              <w:pStyle w:val="20"/>
              <w:spacing w:before="21"/>
              <w:ind w:right="83"/>
              <w:jc w:val="center"/>
              <w:rPr>
                <w:rFonts w:hint="eastAsia" w:ascii="宋体" w:hAnsi="宋体" w:eastAsia="宋体" w:cs="宋体"/>
                <w:sz w:val="18"/>
                <w:szCs w:val="18"/>
              </w:rPr>
            </w:pPr>
            <w:r>
              <w:rPr>
                <w:rFonts w:hint="eastAsia" w:ascii="宋体" w:hAnsi="宋体" w:eastAsia="宋体" w:cs="宋体"/>
                <w:sz w:val="18"/>
                <w:szCs w:val="18"/>
              </w:rPr>
              <w:t>粪大肠菌群数</w:t>
            </w:r>
          </w:p>
        </w:tc>
        <w:tc>
          <w:tcPr>
            <w:tcW w:w="1323" w:type="dxa"/>
            <w:noWrap w:val="0"/>
            <w:vAlign w:val="center"/>
          </w:tcPr>
          <w:p w14:paraId="3E542F15">
            <w:pPr>
              <w:pStyle w:val="20"/>
              <w:spacing w:before="21"/>
              <w:ind w:right="95"/>
              <w:jc w:val="center"/>
              <w:rPr>
                <w:rFonts w:hint="eastAsia" w:ascii="宋体" w:hAnsi="宋体" w:eastAsia="宋体" w:cs="宋体"/>
                <w:sz w:val="18"/>
                <w:szCs w:val="18"/>
              </w:rPr>
            </w:pPr>
            <w:r>
              <w:rPr>
                <w:rFonts w:hint="eastAsia" w:ascii="宋体" w:hAnsi="宋体" w:eastAsia="宋体" w:cs="宋体"/>
                <w:sz w:val="18"/>
                <w:szCs w:val="18"/>
              </w:rPr>
              <w:t>1 次/月</w:t>
            </w:r>
          </w:p>
        </w:tc>
        <w:tc>
          <w:tcPr>
            <w:tcW w:w="954" w:type="dxa"/>
            <w:noWrap w:val="0"/>
            <w:vAlign w:val="center"/>
          </w:tcPr>
          <w:p w14:paraId="6BFA8BD8">
            <w:pPr>
              <w:pStyle w:val="20"/>
              <w:spacing w:before="21"/>
              <w:ind w:right="87"/>
              <w:jc w:val="center"/>
              <w:rPr>
                <w:rFonts w:hint="eastAsia" w:ascii="宋体" w:hAnsi="宋体" w:eastAsia="宋体" w:cs="宋体"/>
                <w:sz w:val="18"/>
                <w:szCs w:val="18"/>
              </w:rPr>
            </w:pPr>
          </w:p>
        </w:tc>
      </w:tr>
      <w:tr w14:paraId="0A392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 w:hRule="atLeast"/>
        </w:trPr>
        <w:tc>
          <w:tcPr>
            <w:tcW w:w="791" w:type="dxa"/>
            <w:vMerge w:val="continue"/>
            <w:noWrap w:val="0"/>
            <w:vAlign w:val="center"/>
          </w:tcPr>
          <w:p w14:paraId="60D14407">
            <w:pPr>
              <w:jc w:val="center"/>
              <w:rPr>
                <w:rFonts w:hint="eastAsia" w:ascii="宋体" w:hAnsi="宋体" w:eastAsia="宋体" w:cs="宋体"/>
                <w:sz w:val="18"/>
                <w:szCs w:val="18"/>
              </w:rPr>
            </w:pPr>
          </w:p>
        </w:tc>
        <w:tc>
          <w:tcPr>
            <w:tcW w:w="1173" w:type="dxa"/>
            <w:vMerge w:val="continue"/>
            <w:noWrap w:val="0"/>
            <w:vAlign w:val="center"/>
          </w:tcPr>
          <w:p w14:paraId="320554C7">
            <w:pPr>
              <w:jc w:val="center"/>
              <w:rPr>
                <w:rFonts w:hint="eastAsia" w:ascii="宋体" w:hAnsi="宋体" w:eastAsia="宋体" w:cs="宋体"/>
                <w:sz w:val="18"/>
                <w:szCs w:val="18"/>
              </w:rPr>
            </w:pPr>
          </w:p>
        </w:tc>
        <w:tc>
          <w:tcPr>
            <w:tcW w:w="873" w:type="dxa"/>
            <w:vMerge w:val="continue"/>
            <w:noWrap w:val="0"/>
            <w:vAlign w:val="center"/>
          </w:tcPr>
          <w:p w14:paraId="50061E42">
            <w:pPr>
              <w:pStyle w:val="20"/>
              <w:spacing w:before="20"/>
              <w:ind w:left="90" w:right="86"/>
              <w:jc w:val="center"/>
              <w:rPr>
                <w:rFonts w:hint="eastAsia" w:ascii="宋体" w:hAnsi="宋体" w:eastAsia="宋体" w:cs="宋体"/>
                <w:sz w:val="18"/>
                <w:szCs w:val="18"/>
              </w:rPr>
            </w:pPr>
          </w:p>
        </w:tc>
        <w:tc>
          <w:tcPr>
            <w:tcW w:w="3136" w:type="dxa"/>
            <w:noWrap w:val="0"/>
            <w:vAlign w:val="center"/>
          </w:tcPr>
          <w:p w14:paraId="7B64E616">
            <w:pPr>
              <w:pStyle w:val="21"/>
              <w:spacing w:before="240" w:line="195" w:lineRule="auto"/>
              <w:ind w:left="132"/>
              <w:rPr>
                <w:rFonts w:hint="eastAsia" w:ascii="宋体" w:hAnsi="宋体" w:cs="宋体" w:eastAsiaTheme="minorEastAsia"/>
                <w:sz w:val="18"/>
                <w:szCs w:val="18"/>
                <w:lang w:eastAsia="zh-CN"/>
              </w:rPr>
            </w:pPr>
            <w:r>
              <w:rPr>
                <w:rFonts w:hint="eastAsia" w:ascii="宋体" w:hAnsi="宋体" w:eastAsia="宋体" w:cs="宋体"/>
                <w:sz w:val="18"/>
                <w:szCs w:val="18"/>
              </w:rPr>
              <w:t>五日生化需氧量、石油类、挥发酚、动植物油、阴离子表面活性剂、总氰化物</w:t>
            </w:r>
            <w:r>
              <w:rPr>
                <w:rFonts w:hint="eastAsia" w:ascii="宋体" w:hAnsi="宋体" w:eastAsia="宋体" w:cs="宋体"/>
                <w:sz w:val="18"/>
                <w:szCs w:val="18"/>
                <w:lang w:eastAsia="zh-CN"/>
              </w:rPr>
              <w:t>、</w:t>
            </w:r>
            <w:r>
              <w:rPr>
                <w:rFonts w:hint="eastAsia" w:ascii="宋体" w:hAnsi="宋体" w:eastAsia="宋体" w:cs="宋体"/>
                <w:sz w:val="18"/>
                <w:szCs w:val="18"/>
              </w:rPr>
              <w:t>总铬</w:t>
            </w:r>
            <w:r>
              <w:rPr>
                <w:rFonts w:hint="eastAsia" w:ascii="宋体" w:hAnsi="宋体" w:eastAsia="宋体" w:cs="宋体"/>
                <w:sz w:val="18"/>
                <w:szCs w:val="18"/>
                <w:lang w:eastAsia="zh-CN"/>
              </w:rPr>
              <w:t>、</w:t>
            </w:r>
            <w:r>
              <w:rPr>
                <w:rFonts w:hint="eastAsia" w:ascii="宋体" w:hAnsi="宋体" w:eastAsia="宋体" w:cs="宋体"/>
                <w:sz w:val="18"/>
                <w:szCs w:val="18"/>
              </w:rPr>
              <w:t>六价铬</w:t>
            </w:r>
            <w:r>
              <w:rPr>
                <w:rFonts w:hint="eastAsia" w:ascii="宋体" w:hAnsi="宋体" w:eastAsia="宋体" w:cs="宋体"/>
                <w:sz w:val="18"/>
                <w:szCs w:val="18"/>
                <w:lang w:eastAsia="zh-CN"/>
              </w:rPr>
              <w:t>、</w:t>
            </w:r>
            <w:r>
              <w:rPr>
                <w:rFonts w:hint="eastAsia" w:ascii="宋体" w:hAnsi="宋体" w:eastAsia="宋体" w:cs="宋体"/>
                <w:sz w:val="18"/>
                <w:szCs w:val="18"/>
              </w:rPr>
              <w:t>总磷( 以P计)</w:t>
            </w:r>
          </w:p>
        </w:tc>
        <w:tc>
          <w:tcPr>
            <w:tcW w:w="1323" w:type="dxa"/>
            <w:noWrap w:val="0"/>
            <w:vAlign w:val="center"/>
          </w:tcPr>
          <w:p w14:paraId="5ECAF0B7">
            <w:pPr>
              <w:pStyle w:val="20"/>
              <w:spacing w:before="20"/>
              <w:ind w:right="86"/>
              <w:jc w:val="center"/>
              <w:rPr>
                <w:rFonts w:hint="eastAsia" w:ascii="宋体" w:hAnsi="宋体" w:eastAsia="宋体" w:cs="宋体"/>
                <w:sz w:val="18"/>
                <w:szCs w:val="18"/>
              </w:rPr>
            </w:pPr>
            <w:r>
              <w:rPr>
                <w:rFonts w:hint="eastAsia" w:ascii="宋体" w:hAnsi="宋体" w:eastAsia="宋体" w:cs="宋体"/>
                <w:sz w:val="18"/>
                <w:szCs w:val="18"/>
              </w:rPr>
              <w:t>1 次/季度</w:t>
            </w:r>
          </w:p>
        </w:tc>
        <w:tc>
          <w:tcPr>
            <w:tcW w:w="954" w:type="dxa"/>
            <w:noWrap w:val="0"/>
            <w:vAlign w:val="center"/>
          </w:tcPr>
          <w:p w14:paraId="69CFC939">
            <w:pPr>
              <w:pStyle w:val="20"/>
              <w:spacing w:before="20"/>
              <w:ind w:right="87"/>
              <w:jc w:val="center"/>
              <w:rPr>
                <w:rFonts w:hint="eastAsia" w:ascii="宋体" w:hAnsi="宋体" w:eastAsia="宋体" w:cs="宋体"/>
                <w:sz w:val="18"/>
                <w:szCs w:val="18"/>
              </w:rPr>
            </w:pPr>
          </w:p>
        </w:tc>
      </w:tr>
      <w:tr w14:paraId="76070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791" w:type="dxa"/>
            <w:vMerge w:val="continue"/>
            <w:tcBorders>
              <w:bottom w:val="single" w:color="auto" w:sz="4" w:space="0"/>
            </w:tcBorders>
            <w:noWrap w:val="0"/>
            <w:vAlign w:val="center"/>
          </w:tcPr>
          <w:p w14:paraId="5733D553">
            <w:pPr>
              <w:pStyle w:val="20"/>
              <w:jc w:val="center"/>
              <w:rPr>
                <w:rFonts w:hint="eastAsia" w:ascii="宋体" w:hAnsi="宋体" w:eastAsia="宋体" w:cs="宋体"/>
                <w:b w:val="0"/>
                <w:bCs/>
                <w:sz w:val="18"/>
                <w:szCs w:val="18"/>
                <w:lang w:val="en-US" w:eastAsia="zh-CN"/>
              </w:rPr>
            </w:pPr>
          </w:p>
        </w:tc>
        <w:tc>
          <w:tcPr>
            <w:tcW w:w="1173" w:type="dxa"/>
            <w:vMerge w:val="continue"/>
            <w:tcBorders>
              <w:bottom w:val="single" w:color="auto" w:sz="4" w:space="0"/>
            </w:tcBorders>
            <w:noWrap w:val="0"/>
            <w:vAlign w:val="center"/>
          </w:tcPr>
          <w:p w14:paraId="1E0DB5F8">
            <w:pPr>
              <w:pStyle w:val="20"/>
              <w:jc w:val="center"/>
              <w:rPr>
                <w:rFonts w:hint="eastAsia" w:ascii="宋体" w:hAnsi="宋体" w:eastAsia="宋体" w:cs="宋体"/>
                <w:b w:val="0"/>
                <w:bCs/>
                <w:sz w:val="18"/>
                <w:szCs w:val="18"/>
              </w:rPr>
            </w:pPr>
          </w:p>
        </w:tc>
        <w:tc>
          <w:tcPr>
            <w:tcW w:w="873" w:type="dxa"/>
            <w:vMerge w:val="continue"/>
            <w:tcBorders>
              <w:bottom w:val="single" w:color="auto" w:sz="4" w:space="0"/>
            </w:tcBorders>
            <w:noWrap w:val="0"/>
            <w:vAlign w:val="center"/>
          </w:tcPr>
          <w:p w14:paraId="2F8B43FB">
            <w:pPr>
              <w:pStyle w:val="20"/>
              <w:jc w:val="center"/>
              <w:rPr>
                <w:rFonts w:hint="eastAsia" w:ascii="宋体" w:hAnsi="宋体" w:eastAsia="宋体" w:cs="宋体"/>
                <w:b w:val="0"/>
                <w:bCs/>
                <w:sz w:val="18"/>
                <w:szCs w:val="18"/>
                <w:lang w:val="en-US" w:eastAsia="zh-CN"/>
              </w:rPr>
            </w:pPr>
          </w:p>
        </w:tc>
        <w:tc>
          <w:tcPr>
            <w:tcW w:w="3136" w:type="dxa"/>
            <w:tcBorders>
              <w:bottom w:val="single" w:color="auto" w:sz="4" w:space="0"/>
            </w:tcBorders>
            <w:noWrap w:val="0"/>
            <w:vAlign w:val="center"/>
          </w:tcPr>
          <w:p w14:paraId="28659F94">
            <w:pPr>
              <w:pStyle w:val="20"/>
              <w:spacing w:before="20" w:line="278" w:lineRule="auto"/>
              <w:ind w:left="113" w:leftChars="0" w:right="105" w:rightChars="0"/>
              <w:jc w:val="center"/>
              <w:rPr>
                <w:rFonts w:hint="eastAsia" w:ascii="宋体" w:hAnsi="宋体" w:eastAsia="宋体" w:cs="宋体"/>
                <w:kern w:val="2"/>
                <w:sz w:val="18"/>
                <w:szCs w:val="18"/>
                <w:lang w:val="en-US" w:eastAsia="zh-CN" w:bidi="ar-SA"/>
              </w:rPr>
            </w:pPr>
            <w:r>
              <w:rPr>
                <w:spacing w:val="-3"/>
                <w:sz w:val="22"/>
                <w:szCs w:val="22"/>
              </w:rPr>
              <w:t>流量</w:t>
            </w:r>
          </w:p>
        </w:tc>
        <w:tc>
          <w:tcPr>
            <w:tcW w:w="1323" w:type="dxa"/>
            <w:tcBorders>
              <w:bottom w:val="single" w:color="auto" w:sz="4" w:space="0"/>
            </w:tcBorders>
            <w:noWrap w:val="0"/>
            <w:vAlign w:val="center"/>
          </w:tcPr>
          <w:p w14:paraId="1737281D">
            <w:pPr>
              <w:pStyle w:val="20"/>
              <w:spacing w:before="11"/>
              <w:jc w:val="center"/>
              <w:rPr>
                <w:rFonts w:hint="eastAsia" w:ascii="宋体" w:hAnsi="宋体" w:eastAsia="宋体" w:cs="宋体"/>
                <w:b/>
                <w:kern w:val="2"/>
                <w:sz w:val="18"/>
                <w:szCs w:val="18"/>
                <w:lang w:val="en-US" w:eastAsia="zh-CN" w:bidi="ar-SA"/>
              </w:rPr>
            </w:pPr>
            <w:r>
              <w:rPr>
                <w:spacing w:val="1"/>
                <w:sz w:val="22"/>
                <w:szCs w:val="22"/>
              </w:rPr>
              <w:t>1次/6h</w:t>
            </w:r>
          </w:p>
        </w:tc>
        <w:tc>
          <w:tcPr>
            <w:tcW w:w="954" w:type="dxa"/>
            <w:tcBorders>
              <w:bottom w:val="single" w:color="auto" w:sz="4" w:space="0"/>
            </w:tcBorders>
            <w:noWrap w:val="0"/>
            <w:vAlign w:val="center"/>
          </w:tcPr>
          <w:p w14:paraId="4B609ED8">
            <w:pPr>
              <w:pStyle w:val="20"/>
              <w:spacing w:before="11"/>
              <w:jc w:val="center"/>
              <w:rPr>
                <w:rFonts w:hint="eastAsia" w:ascii="宋体" w:hAnsi="宋体" w:eastAsia="宋体" w:cs="宋体"/>
                <w:b/>
                <w:kern w:val="2"/>
                <w:sz w:val="18"/>
                <w:szCs w:val="18"/>
                <w:lang w:val="en-US" w:eastAsia="zh-CN" w:bidi="ar-SA"/>
              </w:rPr>
            </w:pPr>
          </w:p>
        </w:tc>
      </w:tr>
      <w:tr w14:paraId="42081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250" w:type="dxa"/>
            <w:gridSpan w:val="6"/>
            <w:tcBorders>
              <w:top w:val="single" w:color="auto" w:sz="4" w:space="0"/>
              <w:left w:val="single" w:color="auto" w:sz="4" w:space="0"/>
              <w:bottom w:val="single" w:color="auto" w:sz="4" w:space="0"/>
              <w:right w:val="single" w:color="auto" w:sz="4" w:space="0"/>
            </w:tcBorders>
            <w:noWrap w:val="0"/>
            <w:vAlign w:val="center"/>
          </w:tcPr>
          <w:p w14:paraId="44A5EAB4">
            <w:pPr>
              <w:pStyle w:val="20"/>
              <w:spacing w:before="1"/>
              <w:ind w:right="87"/>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备注：如生态环境局要求变更监测因子、监测频次时，按生态环境局要求进行监测。</w:t>
            </w:r>
          </w:p>
        </w:tc>
      </w:tr>
      <w:bookmarkEnd w:id="0"/>
    </w:tbl>
    <w:p w14:paraId="132E23EC">
      <w:pPr>
        <w:pStyle w:val="19"/>
        <w:jc w:val="both"/>
        <w:rPr>
          <w:rFonts w:hint="eastAsia" w:ascii="宋体" w:hAnsi="宋体" w:eastAsia="宋体" w:cs="宋体"/>
          <w:sz w:val="24"/>
          <w:szCs w:val="24"/>
        </w:rPr>
      </w:pPr>
    </w:p>
    <w:p w14:paraId="4C77E837">
      <w:pPr>
        <w:pStyle w:val="19"/>
        <w:ind w:firstLine="482" w:firstLineChars="200"/>
        <w:jc w:val="both"/>
        <w:rPr>
          <w:rFonts w:hint="eastAsia" w:ascii="宋体" w:hAnsi="宋体" w:eastAsia="宋体" w:cs="宋体"/>
          <w:b/>
          <w:sz w:val="24"/>
          <w:szCs w:val="24"/>
          <w:lang w:eastAsia="zh-CN"/>
        </w:rPr>
      </w:pPr>
      <w:r>
        <w:rPr>
          <w:rFonts w:hint="eastAsia" w:ascii="宋体" w:hAnsi="宋体" w:eastAsia="宋体" w:cs="宋体"/>
          <w:b/>
          <w:sz w:val="24"/>
          <w:szCs w:val="24"/>
          <w:lang w:eastAsia="zh-CN"/>
        </w:rPr>
        <w:t>（四）服务保障要求</w:t>
      </w:r>
    </w:p>
    <w:p w14:paraId="3058324D">
      <w:pPr>
        <w:pStyle w:val="13"/>
        <w:numPr>
          <w:ilvl w:val="0"/>
          <w:numId w:val="0"/>
        </w:numPr>
        <w:ind w:firstLine="480" w:firstLineChars="200"/>
        <w:jc w:val="both"/>
        <w:rPr>
          <w:rFonts w:hint="eastAsia" w:ascii="方正仿宋_GB2312" w:hAnsi="方正仿宋_GB2312" w:eastAsia="方正仿宋_GB2312" w:cs="方正仿宋_GB2312"/>
          <w:b w:val="0"/>
          <w:bCs/>
          <w:color w:val="auto"/>
          <w:kern w:val="0"/>
          <w:sz w:val="32"/>
          <w:szCs w:val="32"/>
          <w:u w:val="none"/>
          <w:vertAlign w:val="baseline"/>
          <w:lang w:val="en-US" w:eastAsia="zh-CN" w:bidi="ar-SA"/>
        </w:rPr>
      </w:pPr>
      <w:r>
        <w:rPr>
          <w:rFonts w:hint="eastAsia" w:ascii="宋体" w:hAnsi="宋体" w:eastAsia="宋体" w:cs="宋体"/>
          <w:b w:val="0"/>
          <w:bCs/>
          <w:color w:val="auto"/>
          <w:sz w:val="24"/>
          <w:szCs w:val="24"/>
          <w:u w:val="none"/>
        </w:rPr>
        <w:t>检测所需的检测器具由供应商自行提供，所有的检测器具应在有效校准期内。</w:t>
      </w:r>
    </w:p>
    <w:p w14:paraId="3B8E42FD">
      <w:pPr>
        <w:pStyle w:val="13"/>
        <w:numPr>
          <w:ilvl w:val="0"/>
          <w:numId w:val="0"/>
        </w:numPr>
        <w:ind w:firstLine="643" w:firstLineChars="200"/>
        <w:jc w:val="both"/>
        <w:rPr>
          <w:rFonts w:hint="default" w:ascii="方正仿宋_GB2312" w:hAnsi="方正仿宋_GB2312" w:eastAsia="方正仿宋_GB2312" w:cs="方正仿宋_GB2312"/>
          <w:b/>
          <w:bCs/>
          <w:color w:val="auto"/>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三、商务要求</w:t>
      </w:r>
    </w:p>
    <w:p w14:paraId="139353DD">
      <w:pPr>
        <w:pStyle w:val="14"/>
        <w:numPr>
          <w:ilvl w:val="0"/>
          <w:numId w:val="0"/>
        </w:numPr>
        <w:ind w:firstLine="440" w:firstLineChars="200"/>
      </w:pPr>
      <w:r>
        <w:rPr>
          <w:rFonts w:hint="eastAsia"/>
          <w:b/>
          <w:bCs/>
          <w:color w:val="auto"/>
          <w:lang w:val="en-US" w:eastAsia="zh-CN"/>
        </w:rPr>
        <w:t>1.</w:t>
      </w:r>
      <w:r>
        <w:rPr>
          <w:rFonts w:hint="eastAsia"/>
          <w:b/>
          <w:bCs/>
          <w:color w:val="auto"/>
          <w:lang w:eastAsia="zh-CN"/>
        </w:rPr>
        <w:t>工期时间</w:t>
      </w:r>
      <w:r>
        <w:rPr>
          <w:color w:val="auto"/>
        </w:rPr>
        <w:t>：自合同签订之日起</w:t>
      </w:r>
      <w:r>
        <w:rPr>
          <w:rFonts w:hint="eastAsia"/>
          <w:color w:val="auto"/>
          <w:lang w:val="en-US" w:eastAsia="zh-CN"/>
        </w:rPr>
        <w:t>365日</w:t>
      </w:r>
      <w:r>
        <w:t>。</w:t>
      </w:r>
    </w:p>
    <w:p w14:paraId="2517EC10">
      <w:pPr>
        <w:pStyle w:val="14"/>
        <w:numPr>
          <w:ilvl w:val="0"/>
          <w:numId w:val="0"/>
        </w:numPr>
        <w:ind w:leftChars="0" w:firstLine="440" w:firstLineChars="200"/>
      </w:pPr>
      <w:r>
        <w:rPr>
          <w:rFonts w:hint="eastAsia"/>
          <w:b/>
          <w:bCs/>
          <w:lang w:val="en-US" w:eastAsia="zh-CN"/>
        </w:rPr>
        <w:t>2.</w:t>
      </w:r>
      <w:r>
        <w:rPr>
          <w:rFonts w:hint="eastAsia"/>
          <w:b/>
          <w:bCs/>
          <w:lang w:eastAsia="zh-CN"/>
        </w:rPr>
        <w:t>服务地点</w:t>
      </w:r>
      <w:r>
        <w:t>：宜宾市</w:t>
      </w:r>
      <w:r>
        <w:rPr>
          <w:rFonts w:hint="eastAsia"/>
        </w:rPr>
        <w:t>高县中医医院</w:t>
      </w:r>
      <w:r>
        <w:t>。</w:t>
      </w:r>
    </w:p>
    <w:p w14:paraId="41A7BE52">
      <w:pPr>
        <w:pStyle w:val="14"/>
        <w:numPr>
          <w:ilvl w:val="0"/>
          <w:numId w:val="0"/>
        </w:numPr>
        <w:ind w:leftChars="0" w:firstLine="440" w:firstLineChars="200"/>
        <w:rPr>
          <w:rFonts w:hint="eastAsia"/>
        </w:rPr>
      </w:pPr>
      <w:r>
        <w:rPr>
          <w:rFonts w:hint="eastAsia"/>
          <w:b/>
          <w:bCs/>
          <w:lang w:val="en-US" w:eastAsia="zh-CN"/>
        </w:rPr>
        <w:t>3.履约保证金：</w:t>
      </w:r>
      <w:r>
        <w:rPr>
          <w:rFonts w:hint="eastAsia"/>
          <w:lang w:val="en-US" w:eastAsia="zh-CN"/>
        </w:rPr>
        <w:t>不收取履约保证金</w:t>
      </w:r>
      <w:r>
        <w:rPr>
          <w:rFonts w:hint="default"/>
        </w:rPr>
        <w:t>。</w:t>
      </w:r>
    </w:p>
    <w:p w14:paraId="5A5B8FC6">
      <w:pPr>
        <w:pStyle w:val="14"/>
        <w:numPr>
          <w:ilvl w:val="0"/>
          <w:numId w:val="0"/>
        </w:numPr>
        <w:ind w:leftChars="0" w:firstLine="440" w:firstLineChars="200"/>
        <w:rPr>
          <w:rFonts w:hint="eastAsia"/>
          <w:lang w:val="en-US" w:eastAsia="zh-CN"/>
        </w:rPr>
      </w:pPr>
      <w:r>
        <w:rPr>
          <w:rFonts w:hint="eastAsia"/>
          <w:b/>
          <w:bCs/>
          <w:lang w:val="en-US" w:eastAsia="zh-CN"/>
        </w:rPr>
        <w:t>3.验收方式：</w:t>
      </w:r>
      <w:r>
        <w:rPr>
          <w:rFonts w:hint="eastAsia"/>
          <w:lang w:val="en-US" w:eastAsia="zh-CN"/>
        </w:rPr>
        <w:t>按国家有关规定以及采购要求的标准质量和技术指标（包括每一项技术和商务要求的履约情况）、供应商的响应文件及承诺与合同约定标准进行验收；采购双方如对质量要求和技术指标的约定标准有相互抵触或异议的事项，由我院在国家有关规定、采购文件、响应文件及承诺与采购合同约定中按质量要求和技术指标比较优胜的原则确定该项的约定标准进行验收。</w:t>
      </w:r>
    </w:p>
    <w:p w14:paraId="2B5ED47C">
      <w:pPr>
        <w:pStyle w:val="4"/>
        <w:spacing w:after="0" w:line="360" w:lineRule="auto"/>
        <w:ind w:firstLine="420" w:firstLineChars="200"/>
        <w:rPr>
          <w:rFonts w:hint="eastAsia"/>
          <w:lang w:val="en-US" w:eastAsia="zh-CN"/>
        </w:rPr>
      </w:pPr>
      <w:r>
        <w:rPr>
          <w:rFonts w:hint="eastAsia"/>
          <w:b/>
          <w:bCs/>
          <w:lang w:val="en-US" w:eastAsia="zh-CN"/>
        </w:rPr>
        <w:t>4.</w:t>
      </w:r>
      <w:r>
        <w:rPr>
          <w:b/>
          <w:bCs/>
        </w:rPr>
        <w:t>付款方式</w:t>
      </w:r>
      <w:r>
        <w:t>：</w:t>
      </w:r>
      <w:r>
        <w:rPr>
          <w:rFonts w:hint="eastAsia" w:ascii="Arial" w:hAnsi="Arial" w:eastAsia="等线" w:cs="Arial"/>
          <w:sz w:val="22"/>
          <w:szCs w:val="22"/>
          <w:lang w:val="en-US" w:eastAsia="zh-CN" w:bidi="ar-SA"/>
        </w:rPr>
        <w:t>合同签订后，收到供应商合法等额完税普通发票之日起10个工作日内支付合同价款的30%；服务期满后，经双方核定检测清单无误后，供应商提供合法等额完税普通发票后10个工作日内支付合同价款的70%。</w:t>
      </w:r>
    </w:p>
    <w:p w14:paraId="18006806">
      <w:pPr>
        <w:pStyle w:val="14"/>
        <w:numPr>
          <w:ilvl w:val="0"/>
          <w:numId w:val="0"/>
        </w:numPr>
        <w:ind w:firstLine="440" w:firstLineChars="200"/>
        <w:rPr>
          <w:rFonts w:hint="eastAsia"/>
          <w:lang w:val="en-US" w:eastAsia="zh-CN"/>
        </w:rPr>
      </w:pPr>
      <w:r>
        <w:rPr>
          <w:rFonts w:hint="eastAsia"/>
          <w:b/>
          <w:bCs/>
          <w:lang w:val="en-US" w:eastAsia="zh-CN"/>
        </w:rPr>
        <w:t>5.违约责任与解决争议的方法：</w:t>
      </w:r>
      <w:r>
        <w:rPr>
          <w:rFonts w:hint="eastAsia"/>
          <w:lang w:val="en-US" w:eastAsia="zh-CN"/>
        </w:rPr>
        <w:t>政府采购合同的履行、违约责任和解决争议的方法等适用《中华人民共和国民法典》。</w:t>
      </w:r>
      <w:bookmarkStart w:id="1" w:name="_GoBack"/>
      <w:bookmarkEnd w:id="1"/>
    </w:p>
    <w:p w14:paraId="17AE9FF2">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四、报价要求</w:t>
      </w:r>
    </w:p>
    <w:p w14:paraId="631D65F1">
      <w:pPr>
        <w:pStyle w:val="9"/>
        <w:numPr>
          <w:ilvl w:val="0"/>
          <w:numId w:val="0"/>
        </w:numPr>
        <w:ind w:firstLine="480" w:firstLineChars="200"/>
        <w:jc w:val="both"/>
        <w:rPr>
          <w:rFonts w:hint="eastAsia" w:ascii="仿宋_GB2312" w:hAnsi="仿宋_GB2312" w:eastAsia="仿宋_GB2312" w:cs="仿宋_GB2312"/>
          <w:color w:val="FF0000"/>
          <w:sz w:val="32"/>
          <w:szCs w:val="32"/>
          <w:lang w:val="en-US" w:eastAsia="zh-CN"/>
        </w:rPr>
      </w:pPr>
      <w:r>
        <w:rPr>
          <w:rFonts w:hint="eastAsia" w:ascii="Arial" w:hAnsi="Arial" w:eastAsia="宋体" w:cs="Arial"/>
          <w:color w:val="000000"/>
          <w:sz w:val="24"/>
          <w:szCs w:val="24"/>
          <w:lang w:val="en-US" w:eastAsia="zh-CN" w:bidi="ar-SA"/>
        </w:rPr>
        <w:t>项目最高限价</w:t>
      </w:r>
      <w:r>
        <w:rPr>
          <w:rFonts w:hint="eastAsia" w:ascii="Arial" w:hAnsi="Arial" w:eastAsia="宋体" w:cs="Arial"/>
          <w:color w:val="auto"/>
          <w:sz w:val="24"/>
          <w:szCs w:val="24"/>
          <w:lang w:val="en-US" w:eastAsia="zh-CN" w:bidi="ar-SA"/>
        </w:rPr>
        <w:t>：</w:t>
      </w:r>
      <w:r>
        <w:rPr>
          <w:rFonts w:hint="eastAsia" w:ascii="Arial" w:hAnsi="Arial" w:cs="Arial"/>
          <w:color w:val="000000"/>
          <w:sz w:val="24"/>
          <w:szCs w:val="24"/>
          <w:lang w:val="en-US" w:eastAsia="zh-CN" w:bidi="ar-SA"/>
        </w:rPr>
        <w:t>6.8</w:t>
      </w:r>
      <w:r>
        <w:rPr>
          <w:rFonts w:hint="eastAsia" w:ascii="Arial" w:hAnsi="Arial" w:eastAsia="宋体" w:cs="Arial"/>
          <w:color w:val="000000"/>
          <w:sz w:val="24"/>
          <w:szCs w:val="24"/>
          <w:lang w:val="en-US" w:eastAsia="zh-CN" w:bidi="ar-SA"/>
        </w:rPr>
        <w:t>万元，报价应包含与该项目有关的人工、设备、税费等一切费用。</w:t>
      </w:r>
    </w:p>
    <w:p w14:paraId="4400DD84">
      <w:pPr>
        <w:pStyle w:val="8"/>
        <w:numPr>
          <w:ilvl w:val="0"/>
          <w:numId w:val="0"/>
        </w:numPr>
        <w:spacing w:line="360" w:lineRule="auto"/>
        <w:ind w:leftChars="0" w:firstLine="321" w:firstLineChars="100"/>
        <w:rPr>
          <w:rFonts w:hint="eastAsia" w:ascii="方正仿宋_GB2312" w:hAnsi="方正仿宋_GB2312" w:eastAsia="方正仿宋_GB2312" w:cs="方正仿宋_GB2312"/>
          <w:i w:val="0"/>
          <w:iCs w:val="0"/>
          <w:caps w:val="0"/>
          <w:color w:val="000000"/>
          <w:spacing w:val="0"/>
          <w:sz w:val="24"/>
          <w:szCs w:val="24"/>
          <w:shd w:val="clear" w:fill="FFFFFF"/>
          <w:vertAlign w:val="baseline"/>
          <w:lang w:val="en-US" w:eastAsia="zh-CN"/>
        </w:rPr>
      </w:pPr>
      <w:r>
        <w:rPr>
          <w:rFonts w:hint="eastAsia" w:ascii="仿宋_GB2312" w:hAnsi="仿宋_GB2312" w:eastAsia="仿宋_GB2312" w:cs="仿宋_GB2312"/>
          <w:b/>
          <w:bCs/>
          <w:sz w:val="32"/>
          <w:szCs w:val="32"/>
          <w:lang w:val="en-US" w:eastAsia="zh-CN"/>
        </w:rPr>
        <w:t>注：</w:t>
      </w:r>
      <w:r>
        <w:rPr>
          <w:rFonts w:hint="eastAsia" w:ascii="仿宋_GB2312" w:hAnsi="仿宋_GB2312" w:eastAsia="仿宋_GB2312" w:cs="仿宋_GB2312"/>
          <w:b/>
          <w:bCs/>
          <w:color w:val="auto"/>
          <w:kern w:val="2"/>
          <w:sz w:val="32"/>
          <w:szCs w:val="32"/>
          <w:highlight w:val="none"/>
          <w:lang w:val="en-US" w:eastAsia="zh-CN" w:bidi="ar-SA"/>
        </w:rPr>
        <w:t>本章采购要求中的条款为本次采购项目的实质性要求，供应商应全部满足，否则视为响应文件无效。</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698D989-5B8D-4997-9C75-6B7BD14BBA57}"/>
  </w:font>
  <w:font w:name="黑体">
    <w:altName w:val="宋体"/>
    <w:panose1 w:val="02010609060101010101"/>
    <w:charset w:val="86"/>
    <w:family w:val="auto"/>
    <w:pitch w:val="default"/>
    <w:sig w:usb0="800002BF" w:usb1="38CF7CFA" w:usb2="00000016" w:usb3="00000000" w:csb0="00040001" w:csb1="00000000"/>
    <w:embedRegular r:id="rId2" w:fontKey="{07663315-DEE6-43FD-9159-B7A0BA959FA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001010101"/>
    <w:charset w:val="86"/>
    <w:family w:val="auto"/>
    <w:pitch w:val="default"/>
    <w:sig w:usb0="00000000" w:usb1="00000000" w:usb2="00000016" w:usb3="00000000" w:csb0="0004000F" w:csb1="00000000"/>
    <w:embedRegular r:id="rId3" w:fontKey="{CB12E6EF-0A91-4CBE-B693-4D35A9A10A43}"/>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4" w:fontKey="{58DFF1D4-63BB-43EA-AE99-B91639806AFD}"/>
  </w:font>
  <w:font w:name="Arial Unicode MS">
    <w:panose1 w:val="020B0604020202020204"/>
    <w:charset w:val="86"/>
    <w:family w:val="auto"/>
    <w:pitch w:val="default"/>
    <w:sig w:usb0="FFFFFFFF" w:usb1="E9FFFFFF" w:usb2="0000003F" w:usb3="00000000" w:csb0="603F01FF" w:csb1="FFFF0000"/>
    <w:embedRegular r:id="rId5" w:fontKey="{6E371263-875B-4DFB-8EB8-7EB43D934B3F}"/>
  </w:font>
  <w:font w:name="仿宋_GB2312">
    <w:altName w:val="仿宋"/>
    <w:panose1 w:val="02010609030101010101"/>
    <w:charset w:val="86"/>
    <w:family w:val="auto"/>
    <w:pitch w:val="default"/>
    <w:sig w:usb0="00000000" w:usb1="00000000" w:usb2="00000000" w:usb3="00000000" w:csb0="00040000" w:csb1="00000000"/>
    <w:embedRegular r:id="rId6" w:fontKey="{8F7D31AC-1F17-4240-A2B4-49B377ACA31C}"/>
  </w:font>
  <w:font w:name="仿宋">
    <w:panose1 w:val="02010609060101010101"/>
    <w:charset w:val="86"/>
    <w:family w:val="auto"/>
    <w:pitch w:val="default"/>
    <w:sig w:usb0="800002BF" w:usb1="38CF7CFA" w:usb2="00000016" w:usb3="00000000" w:csb0="00040001" w:csb1="00000000"/>
    <w:embedRegular r:id="rId7" w:fontKey="{CDFD2AE8-C1A5-4C00-8879-427F49CDD93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2185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3BA1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23BA1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pStyle w:val="16"/>
      <w:lvlText w:val="-"/>
      <w:lvlJc w:val="left"/>
      <w:pPr>
        <w:tabs>
          <w:tab w:val="left" w:pos="785"/>
        </w:tabs>
        <w:ind w:left="420" w:firstLine="5"/>
      </w:pPr>
      <w:rPr>
        <w:rFonts w:hint="eastAsia" w:ascii="宋体" w:hAnsi="Wingdings" w:eastAsia="宋体"/>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NDk4N2M1NTliNmJjMDJlZDljYjE3OGU5YzM1ZTkifQ=="/>
  </w:docVars>
  <w:rsids>
    <w:rsidRoot w:val="797A28EE"/>
    <w:rsid w:val="048D4113"/>
    <w:rsid w:val="08BA1ECD"/>
    <w:rsid w:val="09B819D2"/>
    <w:rsid w:val="0B442625"/>
    <w:rsid w:val="0BFB3EDB"/>
    <w:rsid w:val="0CA22327"/>
    <w:rsid w:val="0CE21123"/>
    <w:rsid w:val="0E542079"/>
    <w:rsid w:val="0EEA7E55"/>
    <w:rsid w:val="16962931"/>
    <w:rsid w:val="17750CA3"/>
    <w:rsid w:val="1A17118B"/>
    <w:rsid w:val="1C2B7D21"/>
    <w:rsid w:val="1C3500A0"/>
    <w:rsid w:val="1D1135A6"/>
    <w:rsid w:val="1D5F2712"/>
    <w:rsid w:val="20662E4E"/>
    <w:rsid w:val="20CE0ED9"/>
    <w:rsid w:val="241D03D1"/>
    <w:rsid w:val="24776234"/>
    <w:rsid w:val="25E17AFE"/>
    <w:rsid w:val="27F02ECD"/>
    <w:rsid w:val="28A5308F"/>
    <w:rsid w:val="29AA6040"/>
    <w:rsid w:val="29BB1C64"/>
    <w:rsid w:val="2C463FDB"/>
    <w:rsid w:val="2EF67B70"/>
    <w:rsid w:val="311B7355"/>
    <w:rsid w:val="34382FF1"/>
    <w:rsid w:val="353D596D"/>
    <w:rsid w:val="3704274F"/>
    <w:rsid w:val="37EE7B0E"/>
    <w:rsid w:val="3A37597E"/>
    <w:rsid w:val="3D3B655D"/>
    <w:rsid w:val="40D276CD"/>
    <w:rsid w:val="417664B6"/>
    <w:rsid w:val="466B2BA2"/>
    <w:rsid w:val="4E552276"/>
    <w:rsid w:val="4E606311"/>
    <w:rsid w:val="4E8C4B89"/>
    <w:rsid w:val="55063FDD"/>
    <w:rsid w:val="58FB735E"/>
    <w:rsid w:val="59627A81"/>
    <w:rsid w:val="5B8A5421"/>
    <w:rsid w:val="64F5163D"/>
    <w:rsid w:val="6DAE41DF"/>
    <w:rsid w:val="713169C7"/>
    <w:rsid w:val="7246077D"/>
    <w:rsid w:val="72717AF6"/>
    <w:rsid w:val="72FC1993"/>
    <w:rsid w:val="734C56DF"/>
    <w:rsid w:val="73EE02CC"/>
    <w:rsid w:val="797A28EE"/>
    <w:rsid w:val="7B7B75DA"/>
    <w:rsid w:val="7BDA6192"/>
    <w:rsid w:val="7FDF7CB5"/>
    <w:rsid w:val="DDFBD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after="120"/>
    </w:pPr>
  </w:style>
  <w:style w:type="paragraph" w:styleId="5">
    <w:name w:val="Body Text Indent"/>
    <w:basedOn w:val="1"/>
    <w:qFormat/>
    <w:uiPriority w:val="0"/>
    <w:pPr>
      <w:ind w:firstLine="538" w:firstLineChars="192"/>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4"/>
    <w:unhideWhenUsed/>
    <w:qFormat/>
    <w:uiPriority w:val="99"/>
    <w:pPr>
      <w:ind w:firstLine="420" w:firstLineChars="100"/>
    </w:pPr>
  </w:style>
  <w:style w:type="paragraph" w:styleId="9">
    <w:name w:val="Body Text First Indent 2"/>
    <w:basedOn w:val="5"/>
    <w:qFormat/>
    <w:uiPriority w:val="0"/>
    <w:pPr>
      <w:spacing w:after="120"/>
      <w:ind w:left="420" w:leftChars="200" w:firstLine="420" w:firstLineChars="200"/>
    </w:pPr>
    <w:rPr>
      <w:rFonts w:ascii="Calibri" w:hAnsi="Calibri" w:eastAsia="宋体" w:cs="Times New Roman"/>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5">
    <w:name w:val="U_正文2"/>
    <w:basedOn w:val="1"/>
    <w:qFormat/>
    <w:uiPriority w:val="0"/>
    <w:pPr>
      <w:spacing w:before="31" w:beforeLines="10" w:after="31" w:afterLines="10" w:line="300" w:lineRule="auto"/>
    </w:pPr>
    <w:rPr>
      <w:kern w:val="2"/>
      <w:sz w:val="24"/>
    </w:rPr>
  </w:style>
  <w:style w:type="paragraph" w:customStyle="1" w:styleId="16">
    <w:name w:val="U_编号2"/>
    <w:basedOn w:val="1"/>
    <w:qFormat/>
    <w:uiPriority w:val="0"/>
    <w:pPr>
      <w:numPr>
        <w:ilvl w:val="0"/>
        <w:numId w:val="1"/>
      </w:numPr>
      <w:spacing w:before="31" w:beforeLines="10" w:after="31" w:afterLines="10" w:line="300" w:lineRule="auto"/>
    </w:pPr>
    <w:rPr>
      <w:sz w:val="24"/>
      <w:szCs w:val="20"/>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styleId="18">
    <w:name w:val="Quote"/>
    <w:basedOn w:val="1"/>
    <w:next w:val="1"/>
    <w:qFormat/>
    <w:uiPriority w:val="0"/>
    <w:pPr>
      <w:ind w:left="864" w:right="864"/>
      <w:jc w:val="center"/>
    </w:pPr>
    <w:rPr>
      <w:i/>
      <w:color w:val="404040"/>
      <w:szCs w:val="21"/>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customStyle="1" w:styleId="20">
    <w:name w:val="Table Paragraph"/>
    <w:basedOn w:val="1"/>
    <w:qFormat/>
    <w:uiPriority w:val="1"/>
  </w:style>
  <w:style w:type="paragraph" w:customStyle="1" w:styleId="21">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9d28f0a6-8294-4c3b-bb3f-3c8306be9ed9</errorID>
      <errorWord>需具备</errorWord>
      <group>L1_Word</group>
      <groupName>字词问题</groupName>
      <ability>L2_Typo</ability>
      <abilityName>字词错误</abilityName>
      <candidateList>
        <item>须具备</item>
      </candidateList>
      <explain/>
      <paraID>59D5023D</paraID>
      <start>10</start>
      <end>13</end>
      <status>ignored</status>
      <modifiedWord/>
      <trackRevisions>false</trackRevisions>
    </reviewItem>
    <reviewItem>
      <errorID>017ec944-1a35-432c-aaa6-59df74bc6419</errorID>
      <errorWord>日</errorWord>
      <group>L1_Word</group>
      <groupName>字词问题</groupName>
      <ability>L2_Typo</ability>
      <abilityName>字词错误</abilityName>
      <candidateList>
        <item>日内</item>
      </candidateList>
      <explain/>
      <paraID>139353DD</paraID>
      <start>17</start>
      <end>19</end>
      <status>modified</status>
      <modifiedWord>日内</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d88c00-890f-4fe1-94cd-75ff36c96d3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619</Words>
  <Characters>639</Characters>
  <Lines>0</Lines>
  <Paragraphs>0</Paragraphs>
  <TotalTime>14</TotalTime>
  <ScaleCrop>false</ScaleCrop>
  <LinksUpToDate>false</LinksUpToDate>
  <CharactersWithSpaces>645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2025-03-03T10:20:00Z</dcterms:created>
  <dc:creator>詹功强</dc:creator>
  <cp:lastModifiedBy>王旭</cp:lastModifiedBy>
  <cp:lastPrinted>2026-08-11T01:39:41Z</cp:lastPrinted>
  <dcterms:modified xsi:type="dcterms:W3CDTF">2026-08-11T01:40:46Z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717305EAF00548E39BBD39417A6C3EEF_13</vt:lpwstr>
  </property>
  <property fmtid="{D5CDD505-2E9C-101B-9397-08002B2CF9AE}" pid="4" name="KSOTemplateDocerSaveRecord">
    <vt:lpwstr>eyJoZGlkIjoiNzc5YTdkNjg0NGZhYmEyZGM3NmJiMTM5NzBmY2RmNDAiLCJ1c2VySWQiOiIxNjUxMjY5MTU1In0=</vt:lpwstr>
  </property>
</Properties>
</file>