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DFC6F">
      <w:pPr>
        <w:rPr>
          <w:rFonts w:hint="eastAsia" w:ascii="黑体" w:hAnsi="黑体" w:eastAsia="黑体" w:cs="黑体"/>
          <w:i w:val="0"/>
          <w:iCs w:val="0"/>
          <w:caps w:val="0"/>
          <w:color w:val="000000"/>
          <w:spacing w:val="0"/>
          <w:sz w:val="44"/>
          <w:szCs w:val="44"/>
          <w:shd w:val="clear" w:fill="FFFFFF"/>
          <w:vertAlign w:val="baseline"/>
          <w:lang w:val="en-US" w:eastAsia="zh-CN"/>
        </w:rPr>
      </w:pPr>
      <w:r>
        <w:rPr>
          <w:rFonts w:hint="eastAsia" w:ascii="方正仿宋_GB2312" w:hAnsi="方正仿宋_GB2312" w:eastAsia="方正仿宋_GB2312" w:cs="方正仿宋_GB2312"/>
          <w:sz w:val="32"/>
          <w:szCs w:val="32"/>
          <w:lang w:val="en-US" w:eastAsia="zh-CN"/>
        </w:rPr>
        <w:t>附件1：</w:t>
      </w:r>
    </w:p>
    <w:p w14:paraId="3694B581">
      <w:pPr>
        <w:jc w:val="center"/>
        <w:rPr>
          <w:rFonts w:hint="eastAsia" w:ascii="Arial Unicode MS" w:hAnsi="Arial Unicode MS" w:eastAsia="Arial Unicode MS" w:cs="Arial Unicode MS"/>
          <w:color w:val="000000"/>
          <w:kern w:val="0"/>
          <w:sz w:val="44"/>
          <w:szCs w:val="44"/>
          <w:vertAlign w:val="baseline"/>
          <w:lang w:val="en-US" w:eastAsia="zh-CN" w:bidi="ar-SA"/>
        </w:rPr>
      </w:pPr>
      <w:r>
        <w:rPr>
          <w:rFonts w:hint="eastAsia" w:ascii="Arial Unicode MS" w:hAnsi="Arial Unicode MS" w:eastAsia="Arial Unicode MS" w:cs="Arial Unicode MS"/>
          <w:sz w:val="44"/>
          <w:szCs w:val="44"/>
          <w:lang w:val="en-US" w:eastAsia="zh-CN"/>
        </w:rPr>
        <w:t>采 购 要 求</w:t>
      </w:r>
    </w:p>
    <w:p w14:paraId="03F0BEDE">
      <w:pPr>
        <w:pStyle w:val="13"/>
        <w:numPr>
          <w:ilvl w:val="0"/>
          <w:numId w:val="0"/>
        </w:numPr>
        <w:ind w:firstLine="562" w:firstLineChars="200"/>
        <w:jc w:val="both"/>
        <w:rPr>
          <w:rFonts w:hint="eastAsia" w:ascii="方正仿宋_GB2312" w:hAnsi="方正仿宋_GB2312" w:eastAsia="方正仿宋_GB2312" w:cs="方正仿宋_GB2312"/>
          <w:b/>
          <w:bCs/>
          <w:color w:val="000000"/>
          <w:kern w:val="0"/>
          <w:sz w:val="28"/>
          <w:szCs w:val="28"/>
          <w:vertAlign w:val="baseline"/>
          <w:lang w:val="en-US" w:eastAsia="zh-CN" w:bidi="ar-SA"/>
        </w:rPr>
      </w:pPr>
    </w:p>
    <w:p w14:paraId="6DD60D17">
      <w:pPr>
        <w:pStyle w:val="13"/>
        <w:numPr>
          <w:ilvl w:val="0"/>
          <w:numId w:val="0"/>
        </w:numPr>
        <w:ind w:firstLine="643" w:firstLineChars="200"/>
        <w:jc w:val="both"/>
        <w:rPr>
          <w:rFonts w:hint="eastAsia" w:ascii="方正仿宋_GB2312" w:hAnsi="方正仿宋_GB2312" w:eastAsia="方正仿宋_GB2312" w:cs="方正仿宋_GB2312"/>
          <w:b/>
          <w:bCs/>
          <w:color w:val="000000"/>
          <w:kern w:val="0"/>
          <w:sz w:val="32"/>
          <w:szCs w:val="32"/>
          <w:vertAlign w:val="baseline"/>
          <w:lang w:val="en-US" w:eastAsia="zh-CN" w:bidi="ar-SA"/>
        </w:rPr>
      </w:pPr>
      <w:r>
        <w:rPr>
          <w:rFonts w:hint="eastAsia" w:ascii="方正仿宋_GB2312" w:hAnsi="方正仿宋_GB2312" w:eastAsia="方正仿宋_GB2312" w:cs="方正仿宋_GB2312"/>
          <w:b/>
          <w:bCs/>
          <w:color w:val="000000"/>
          <w:kern w:val="0"/>
          <w:sz w:val="32"/>
          <w:szCs w:val="32"/>
          <w:vertAlign w:val="baseline"/>
          <w:lang w:val="en-US" w:eastAsia="zh-CN" w:bidi="ar-SA"/>
        </w:rPr>
        <w:t>一、供应商资质</w:t>
      </w:r>
    </w:p>
    <w:p w14:paraId="3C8D6E2B">
      <w:pPr>
        <w:keepNext w:val="0"/>
        <w:keepLines w:val="0"/>
        <w:pageBreakBefore w:val="0"/>
        <w:widowControl/>
        <w:numPr>
          <w:ilvl w:val="0"/>
          <w:numId w:val="0"/>
        </w:numPr>
        <w:kinsoku/>
        <w:wordWrap/>
        <w:overflowPunct/>
        <w:topLinePunct w:val="0"/>
        <w:autoSpaceDE/>
        <w:autoSpaceDN/>
        <w:bidi w:val="0"/>
        <w:snapToGrid/>
        <w:spacing w:after="0" w:afterLines="0" w:line="360" w:lineRule="auto"/>
        <w:ind w:right="-1" w:rightChars="0" w:firstLine="440" w:firstLineChars="200"/>
        <w:jc w:val="left"/>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1.具有独立承担民事责任的能力（提供承诺函）。</w:t>
      </w:r>
    </w:p>
    <w:p w14:paraId="6847F63E">
      <w:pPr>
        <w:keepNext w:val="0"/>
        <w:keepLines w:val="0"/>
        <w:pageBreakBefore w:val="0"/>
        <w:widowControl/>
        <w:numPr>
          <w:ilvl w:val="0"/>
          <w:numId w:val="0"/>
        </w:numPr>
        <w:kinsoku/>
        <w:wordWrap/>
        <w:overflowPunct/>
        <w:topLinePunct w:val="0"/>
        <w:autoSpaceDE/>
        <w:autoSpaceDN/>
        <w:bidi w:val="0"/>
        <w:snapToGrid/>
        <w:spacing w:after="0" w:afterLines="0" w:line="360" w:lineRule="auto"/>
        <w:ind w:right="-1" w:rightChars="0" w:firstLine="440" w:firstLineChars="200"/>
        <w:jc w:val="left"/>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2.具有良好的商业信誉和健全的财务会计制度（提供承诺函）。</w:t>
      </w:r>
    </w:p>
    <w:p w14:paraId="59D5023D">
      <w:pPr>
        <w:keepNext w:val="0"/>
        <w:keepLines w:val="0"/>
        <w:pageBreakBefore w:val="0"/>
        <w:widowControl/>
        <w:numPr>
          <w:ilvl w:val="0"/>
          <w:numId w:val="0"/>
        </w:numPr>
        <w:kinsoku/>
        <w:wordWrap/>
        <w:overflowPunct/>
        <w:topLinePunct w:val="0"/>
        <w:autoSpaceDE/>
        <w:autoSpaceDN/>
        <w:bidi w:val="0"/>
        <w:snapToGrid/>
        <w:spacing w:after="0" w:afterLines="0" w:line="360" w:lineRule="auto"/>
        <w:ind w:right="-1" w:rightChars="0" w:firstLine="440" w:firstLineChars="200"/>
        <w:jc w:val="left"/>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3.具有履行合同所必需的设备和专业技术能力（提供营业执照）</w:t>
      </w:r>
      <w:r>
        <w:rPr>
          <w:rFonts w:hint="eastAsia" w:eastAsia="等线" w:cs="Arial"/>
          <w:snapToGrid/>
          <w:color w:val="auto"/>
          <w:kern w:val="0"/>
          <w:sz w:val="22"/>
          <w:szCs w:val="22"/>
          <w:lang w:val="en-US" w:eastAsia="zh-CN" w:bidi="ar-SA"/>
        </w:rPr>
        <w:t>。</w:t>
      </w:r>
    </w:p>
    <w:p w14:paraId="09EA0F4B">
      <w:pPr>
        <w:keepNext w:val="0"/>
        <w:keepLines w:val="0"/>
        <w:pageBreakBefore w:val="0"/>
        <w:widowControl/>
        <w:numPr>
          <w:ilvl w:val="0"/>
          <w:numId w:val="0"/>
        </w:numPr>
        <w:kinsoku/>
        <w:wordWrap/>
        <w:overflowPunct/>
        <w:topLinePunct w:val="0"/>
        <w:autoSpaceDE/>
        <w:autoSpaceDN/>
        <w:bidi w:val="0"/>
        <w:snapToGrid/>
        <w:spacing w:after="0" w:afterLines="0" w:line="360" w:lineRule="auto"/>
        <w:ind w:right="-1" w:rightChars="0" w:firstLine="440" w:firstLineChars="200"/>
        <w:jc w:val="left"/>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4.参加本次比价活动前三年内，在经营活动中没有重大违法记录（提供承诺函）。</w:t>
      </w:r>
    </w:p>
    <w:p w14:paraId="20C5FD1E">
      <w:pPr>
        <w:pStyle w:val="13"/>
        <w:ind w:firstLine="440" w:firstLineChars="200"/>
        <w:rPr>
          <w:rFonts w:hint="default" w:eastAsia="仿宋_GB2312"/>
          <w:sz w:val="28"/>
          <w:szCs w:val="28"/>
          <w:lang w:val="en-US" w:eastAsia="zh-CN"/>
        </w:rPr>
      </w:pPr>
      <w:r>
        <w:rPr>
          <w:rFonts w:hint="eastAsia" w:ascii="Arial" w:hAnsi="Arial" w:eastAsia="等线" w:cs="Arial"/>
          <w:snapToGrid/>
          <w:color w:val="auto"/>
          <w:kern w:val="0"/>
          <w:sz w:val="22"/>
          <w:szCs w:val="22"/>
          <w:lang w:val="en-US" w:eastAsia="zh-CN" w:bidi="ar-SA"/>
        </w:rPr>
        <w:t>5.本项目不接受联合体参与比选；</w:t>
      </w:r>
    </w:p>
    <w:p w14:paraId="183613E9">
      <w:pPr>
        <w:pStyle w:val="9"/>
        <w:ind w:left="0" w:leftChars="0" w:firstLine="0" w:firstLineChars="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
          <w:bCs w:val="0"/>
          <w:sz w:val="28"/>
          <w:szCs w:val="28"/>
          <w:lang w:val="en-US" w:eastAsia="zh-CN"/>
        </w:rPr>
        <w:t xml:space="preserve"> 注：上述资料均加盖公司鲜章。</w:t>
      </w:r>
    </w:p>
    <w:p w14:paraId="017890F1">
      <w:pPr>
        <w:pStyle w:val="13"/>
        <w:numPr>
          <w:ilvl w:val="0"/>
          <w:numId w:val="0"/>
        </w:numPr>
        <w:ind w:firstLine="643" w:firstLineChars="200"/>
        <w:jc w:val="both"/>
        <w:rPr>
          <w:rFonts w:hint="eastAsia" w:ascii="方正仿宋_GB2312" w:hAnsi="方正仿宋_GB2312" w:eastAsia="方正仿宋_GB2312" w:cs="方正仿宋_GB2312"/>
          <w:b/>
          <w:bCs/>
          <w:color w:val="000000"/>
          <w:kern w:val="0"/>
          <w:sz w:val="32"/>
          <w:szCs w:val="32"/>
          <w:vertAlign w:val="baseline"/>
          <w:lang w:val="en-US" w:eastAsia="zh-CN" w:bidi="ar-SA"/>
        </w:rPr>
      </w:pPr>
      <w:r>
        <w:rPr>
          <w:rFonts w:hint="eastAsia" w:ascii="方正仿宋_GB2312" w:hAnsi="方正仿宋_GB2312" w:eastAsia="方正仿宋_GB2312" w:cs="方正仿宋_GB2312"/>
          <w:b/>
          <w:bCs/>
          <w:color w:val="000000"/>
          <w:kern w:val="0"/>
          <w:sz w:val="32"/>
          <w:szCs w:val="32"/>
          <w:vertAlign w:val="baseline"/>
          <w:lang w:val="en-US" w:eastAsia="zh-CN" w:bidi="ar-SA"/>
        </w:rPr>
        <w:t>二、建设要求</w:t>
      </w:r>
    </w:p>
    <w:p w14:paraId="56B2C4DC">
      <w:pPr>
        <w:pStyle w:val="13"/>
        <w:numPr>
          <w:ilvl w:val="0"/>
          <w:numId w:val="0"/>
        </w:numPr>
        <w:ind w:firstLine="480" w:firstLineChars="200"/>
        <w:jc w:val="both"/>
        <w:rPr>
          <w:rFonts w:hint="eastAsia" w:ascii="方正仿宋_GB2312" w:hAnsi="方正仿宋_GB2312" w:eastAsia="方正仿宋_GB2312" w:cs="方正仿宋_GB2312"/>
          <w:b/>
          <w:bCs/>
          <w:color w:val="000000"/>
          <w:kern w:val="0"/>
          <w:sz w:val="32"/>
          <w:szCs w:val="32"/>
          <w:vertAlign w:val="baseline"/>
          <w:lang w:val="en-US" w:eastAsia="zh-CN" w:bidi="ar-SA"/>
        </w:rPr>
      </w:pPr>
      <w:r>
        <w:rPr>
          <w:rFonts w:hint="eastAsia" w:ascii="宋体" w:hAnsi="宋体" w:cs="宋体"/>
          <w:i w:val="0"/>
          <w:iCs w:val="0"/>
          <w:color w:val="000000"/>
          <w:kern w:val="0"/>
          <w:sz w:val="24"/>
          <w:szCs w:val="22"/>
          <w:u w:val="none"/>
          <w:lang w:val="en-US" w:eastAsia="zh-CN" w:bidi="ar"/>
        </w:rPr>
        <w:t>详见工程量清单及施工图纸</w:t>
      </w:r>
      <w:bookmarkStart w:id="0" w:name="_GoBack"/>
      <w:bookmarkEnd w:id="0"/>
    </w:p>
    <w:p w14:paraId="3B8E42FD">
      <w:pPr>
        <w:pStyle w:val="13"/>
        <w:numPr>
          <w:ilvl w:val="0"/>
          <w:numId w:val="0"/>
        </w:numPr>
        <w:ind w:firstLine="643" w:firstLineChars="200"/>
        <w:jc w:val="both"/>
        <w:rPr>
          <w:rFonts w:hint="default" w:ascii="方正仿宋_GB2312" w:hAnsi="方正仿宋_GB2312" w:eastAsia="方正仿宋_GB2312" w:cs="方正仿宋_GB2312"/>
          <w:b/>
          <w:bCs/>
          <w:color w:val="000000"/>
          <w:kern w:val="0"/>
          <w:sz w:val="32"/>
          <w:szCs w:val="32"/>
          <w:vertAlign w:val="baseline"/>
          <w:lang w:val="en-US" w:eastAsia="zh-CN" w:bidi="ar-SA"/>
        </w:rPr>
      </w:pPr>
      <w:r>
        <w:rPr>
          <w:rFonts w:hint="eastAsia" w:ascii="方正仿宋_GB2312" w:hAnsi="方正仿宋_GB2312" w:eastAsia="方正仿宋_GB2312" w:cs="方正仿宋_GB2312"/>
          <w:b/>
          <w:bCs/>
          <w:color w:val="000000"/>
          <w:kern w:val="0"/>
          <w:sz w:val="32"/>
          <w:szCs w:val="32"/>
          <w:vertAlign w:val="baseline"/>
          <w:lang w:val="en-US" w:eastAsia="zh-CN" w:bidi="ar-SA"/>
        </w:rPr>
        <w:t>三、商务要求</w:t>
      </w:r>
    </w:p>
    <w:p w14:paraId="139353DD">
      <w:pPr>
        <w:pStyle w:val="14"/>
        <w:numPr>
          <w:ilvl w:val="0"/>
          <w:numId w:val="0"/>
        </w:numPr>
        <w:ind w:firstLine="440" w:firstLineChars="200"/>
      </w:pPr>
      <w:r>
        <w:rPr>
          <w:rFonts w:hint="eastAsia"/>
          <w:b/>
          <w:bCs/>
          <w:lang w:val="en-US" w:eastAsia="zh-CN"/>
        </w:rPr>
        <w:t>1.</w:t>
      </w:r>
      <w:r>
        <w:rPr>
          <w:rFonts w:hint="eastAsia"/>
          <w:b/>
          <w:bCs/>
          <w:lang w:eastAsia="zh-CN"/>
        </w:rPr>
        <w:t>建设时间</w:t>
      </w:r>
      <w:r>
        <w:t>：自合同签订之日起</w:t>
      </w:r>
      <w:r>
        <w:rPr>
          <w:rFonts w:hint="eastAsia"/>
          <w:lang w:val="en-US" w:eastAsia="zh-CN"/>
        </w:rPr>
        <w:t>40日</w:t>
      </w:r>
      <w:r>
        <w:rPr>
          <w:rFonts w:hint="eastAsia"/>
          <w:lang w:eastAsia="zh-CN"/>
        </w:rPr>
        <w:t>内完工</w:t>
      </w:r>
      <w:r>
        <w:t>。</w:t>
      </w:r>
    </w:p>
    <w:p w14:paraId="2517EC10">
      <w:pPr>
        <w:pStyle w:val="14"/>
        <w:numPr>
          <w:ilvl w:val="0"/>
          <w:numId w:val="0"/>
        </w:numPr>
        <w:ind w:leftChars="0" w:firstLine="440" w:firstLineChars="200"/>
      </w:pPr>
      <w:r>
        <w:rPr>
          <w:rFonts w:hint="eastAsia"/>
          <w:b/>
          <w:bCs/>
          <w:lang w:val="en-US" w:eastAsia="zh-CN"/>
        </w:rPr>
        <w:t>2.</w:t>
      </w:r>
      <w:r>
        <w:rPr>
          <w:rFonts w:hint="eastAsia"/>
          <w:b/>
          <w:bCs/>
          <w:lang w:eastAsia="zh-CN"/>
        </w:rPr>
        <w:t>建设地点</w:t>
      </w:r>
      <w:r>
        <w:t>：宜宾市</w:t>
      </w:r>
      <w:r>
        <w:rPr>
          <w:rFonts w:hint="eastAsia"/>
        </w:rPr>
        <w:t>高县中医医院</w:t>
      </w:r>
      <w:r>
        <w:t>。</w:t>
      </w:r>
    </w:p>
    <w:p w14:paraId="41A7BE52">
      <w:pPr>
        <w:pStyle w:val="14"/>
        <w:numPr>
          <w:ilvl w:val="0"/>
          <w:numId w:val="0"/>
        </w:numPr>
        <w:ind w:leftChars="0" w:firstLine="440" w:firstLineChars="200"/>
        <w:rPr>
          <w:rFonts w:hint="eastAsia"/>
        </w:rPr>
      </w:pPr>
      <w:r>
        <w:rPr>
          <w:rFonts w:hint="eastAsia"/>
          <w:b/>
          <w:bCs/>
          <w:lang w:val="en-US" w:eastAsia="zh-CN"/>
        </w:rPr>
        <w:t>3.履约保证金：</w:t>
      </w:r>
      <w:r>
        <w:rPr>
          <w:rFonts w:hint="eastAsia"/>
          <w:lang w:val="en-US" w:eastAsia="zh-CN"/>
        </w:rPr>
        <w:t>不收取履约保证金</w:t>
      </w:r>
      <w:r>
        <w:rPr>
          <w:rFonts w:hint="default"/>
        </w:rPr>
        <w:t>。</w:t>
      </w:r>
    </w:p>
    <w:p w14:paraId="5A5B8FC6">
      <w:pPr>
        <w:pStyle w:val="14"/>
        <w:numPr>
          <w:ilvl w:val="0"/>
          <w:numId w:val="0"/>
        </w:numPr>
        <w:ind w:leftChars="0" w:firstLine="440" w:firstLineChars="200"/>
        <w:rPr>
          <w:rFonts w:hint="eastAsia"/>
          <w:lang w:val="en-US" w:eastAsia="zh-CN"/>
        </w:rPr>
      </w:pPr>
      <w:r>
        <w:rPr>
          <w:rFonts w:hint="eastAsia"/>
          <w:b/>
          <w:bCs/>
          <w:lang w:val="en-US" w:eastAsia="zh-CN"/>
        </w:rPr>
        <w:t>3.验收方式：</w:t>
      </w:r>
      <w:r>
        <w:rPr>
          <w:rFonts w:hint="eastAsia"/>
          <w:lang w:val="en-US" w:eastAsia="zh-CN"/>
        </w:rPr>
        <w:t>以合同总价包干方式验收结算。按国家有关规定以及采购要求的施工质量要求、标准质量要求和技术指标（包括每一项技术和商务要求的履约情况）、供应商的响应文件及承诺与合同约定标准进行验收；采购双方如对质量要求和技术指标的约定标准有相互抵触或异议的事项，由我院在国家有关规定、采购文件、响应文件及承诺与采购合同约定中按质量要求和技术指标比较优胜的原则确定该项的约定标准进行验收。</w:t>
      </w:r>
    </w:p>
    <w:p w14:paraId="77DCF905">
      <w:pPr>
        <w:pStyle w:val="14"/>
        <w:numPr>
          <w:ilvl w:val="0"/>
          <w:numId w:val="0"/>
        </w:numPr>
        <w:ind w:leftChars="0" w:firstLine="440" w:firstLineChars="200"/>
        <w:rPr>
          <w:rFonts w:hint="default"/>
          <w:lang w:val="en-US" w:eastAsia="zh-CN"/>
        </w:rPr>
      </w:pPr>
      <w:r>
        <w:rPr>
          <w:rFonts w:hint="eastAsia"/>
          <w:b/>
          <w:bCs/>
          <w:lang w:val="en-US" w:eastAsia="zh-CN"/>
        </w:rPr>
        <w:t>4.质保期</w:t>
      </w:r>
      <w:r>
        <w:rPr>
          <w:rFonts w:hint="eastAsia"/>
          <w:lang w:val="en-US" w:eastAsia="zh-CN"/>
        </w:rPr>
        <w:t>：2年。</w:t>
      </w:r>
    </w:p>
    <w:p w14:paraId="5D389414">
      <w:pPr>
        <w:pStyle w:val="14"/>
        <w:numPr>
          <w:ilvl w:val="0"/>
          <w:numId w:val="0"/>
        </w:numPr>
        <w:ind w:leftChars="0" w:firstLine="440" w:firstLineChars="200"/>
        <w:jc w:val="both"/>
        <w:rPr>
          <w:rFonts w:hint="eastAsia"/>
          <w:lang w:val="en-US" w:eastAsia="zh-CN"/>
        </w:rPr>
      </w:pPr>
      <w:r>
        <w:rPr>
          <w:rFonts w:hint="eastAsia"/>
          <w:b/>
          <w:bCs/>
          <w:lang w:val="en-US" w:eastAsia="zh-CN"/>
        </w:rPr>
        <w:t>5.</w:t>
      </w:r>
      <w:r>
        <w:rPr>
          <w:b/>
          <w:bCs/>
        </w:rPr>
        <w:t>付款方式</w:t>
      </w:r>
      <w:r>
        <w:t>：</w:t>
      </w:r>
      <w:r>
        <w:rPr>
          <w:rFonts w:hint="eastAsia"/>
          <w:lang w:eastAsia="zh-CN"/>
        </w:rPr>
        <w:t>在无重大变更情况下，本项目按照中标价结算，</w:t>
      </w:r>
      <w:r>
        <w:rPr>
          <w:rFonts w:hint="eastAsia"/>
          <w:lang w:val="en-US" w:eastAsia="zh-CN"/>
        </w:rPr>
        <w:t>签订合同进场施工后7日内支付合同金额的3</w:t>
      </w:r>
      <w:r>
        <w:rPr>
          <w:rFonts w:hint="default"/>
          <w:lang w:val="en-US" w:eastAsia="zh-CN"/>
        </w:rPr>
        <w:t>0%</w:t>
      </w:r>
      <w:r>
        <w:rPr>
          <w:rFonts w:hint="eastAsia"/>
          <w:lang w:val="en-US" w:eastAsia="zh-CN"/>
        </w:rPr>
        <w:t>；</w:t>
      </w:r>
      <w:r>
        <w:rPr>
          <w:rFonts w:hint="default"/>
          <w:lang w:val="en-US" w:eastAsia="zh-CN"/>
        </w:rPr>
        <w:t>工程竣工验收合格</w:t>
      </w:r>
      <w:r>
        <w:rPr>
          <w:rFonts w:hint="eastAsia"/>
          <w:lang w:val="en-US" w:eastAsia="zh-CN"/>
        </w:rPr>
        <w:t>并签订结算书</w:t>
      </w:r>
      <w:r>
        <w:rPr>
          <w:rFonts w:hint="default"/>
          <w:lang w:val="en-US" w:eastAsia="zh-CN"/>
        </w:rPr>
        <w:t>，支付至合同总金额的</w:t>
      </w:r>
      <w:r>
        <w:rPr>
          <w:rFonts w:hint="eastAsia"/>
          <w:lang w:val="en-US" w:eastAsia="zh-CN"/>
        </w:rPr>
        <w:t>97</w:t>
      </w:r>
      <w:r>
        <w:rPr>
          <w:rFonts w:hint="default"/>
          <w:lang w:val="en-US" w:eastAsia="zh-CN"/>
        </w:rPr>
        <w:t>%</w:t>
      </w:r>
      <w:r>
        <w:rPr>
          <w:rFonts w:hint="eastAsia"/>
          <w:lang w:val="en-US" w:eastAsia="zh-CN"/>
        </w:rPr>
        <w:t>，剩余合同总金额的3%作为质保金，质保期满后7日内无息支付，</w:t>
      </w:r>
      <w:r>
        <w:rPr>
          <w:rFonts w:hint="default"/>
          <w:lang w:val="en-US" w:eastAsia="zh-CN"/>
        </w:rPr>
        <w:t>付款时中选单位必须提供相应的发票</w:t>
      </w:r>
      <w:r>
        <w:rPr>
          <w:rFonts w:hint="eastAsia"/>
          <w:lang w:val="en-US" w:eastAsia="zh-CN"/>
        </w:rPr>
        <w:t>。</w:t>
      </w:r>
    </w:p>
    <w:p w14:paraId="6919A710">
      <w:pPr>
        <w:pStyle w:val="18"/>
        <w:numPr>
          <w:ilvl w:val="0"/>
          <w:numId w:val="0"/>
        </w:numPr>
        <w:ind w:right="864" w:rightChars="0" w:firstLine="440" w:firstLineChars="200"/>
        <w:jc w:val="left"/>
        <w:rPr>
          <w:rFonts w:hint="eastAsia" w:ascii="Arial" w:hAnsi="Arial" w:eastAsia="等线" w:cs="Arial"/>
          <w:b/>
          <w:bCs/>
          <w:i w:val="0"/>
          <w:color w:val="auto"/>
          <w:sz w:val="22"/>
          <w:szCs w:val="22"/>
          <w:lang w:val="en-US" w:eastAsia="zh-CN" w:bidi="ar-SA"/>
        </w:rPr>
      </w:pPr>
      <w:r>
        <w:rPr>
          <w:rFonts w:hint="eastAsia" w:ascii="Arial" w:hAnsi="Arial" w:eastAsia="等线" w:cs="Arial"/>
          <w:b/>
          <w:bCs/>
          <w:i w:val="0"/>
          <w:color w:val="auto"/>
          <w:sz w:val="22"/>
          <w:szCs w:val="22"/>
          <w:lang w:val="en-US" w:eastAsia="zh-CN" w:bidi="ar-SA"/>
        </w:rPr>
        <w:t>6.安全文明施工</w:t>
      </w:r>
      <w:r>
        <w:rPr>
          <w:rFonts w:hint="eastAsia" w:eastAsia="等线" w:cs="Arial"/>
          <w:b/>
          <w:bCs/>
          <w:i w:val="0"/>
          <w:color w:val="auto"/>
          <w:sz w:val="22"/>
          <w:szCs w:val="22"/>
          <w:lang w:val="en-US" w:eastAsia="zh-CN" w:bidi="ar-SA"/>
        </w:rPr>
        <w:t>：</w:t>
      </w:r>
    </w:p>
    <w:p w14:paraId="4ACFD7F6">
      <w:pPr>
        <w:ind w:firstLine="480"/>
        <w:rPr>
          <w:rFonts w:hint="eastAsia" w:ascii="Arial" w:hAnsi="Arial" w:eastAsia="等线" w:cs="Arial"/>
          <w:snapToGrid/>
          <w:color w:val="auto"/>
          <w:kern w:val="0"/>
          <w:sz w:val="22"/>
          <w:szCs w:val="22"/>
          <w:lang w:val="en-US" w:eastAsia="zh-CN" w:bidi="ar-SA"/>
        </w:rPr>
      </w:pPr>
      <w:r>
        <w:rPr>
          <w:rFonts w:hint="eastAsia" w:eastAsia="等线" w:cs="Arial"/>
          <w:snapToGrid/>
          <w:color w:val="auto"/>
          <w:kern w:val="0"/>
          <w:sz w:val="22"/>
          <w:szCs w:val="22"/>
          <w:lang w:val="en-US" w:eastAsia="zh-CN" w:bidi="ar-SA"/>
        </w:rPr>
        <w:t>中选</w:t>
      </w:r>
      <w:r>
        <w:rPr>
          <w:rFonts w:hint="eastAsia" w:ascii="Arial" w:hAnsi="Arial" w:eastAsia="等线" w:cs="Arial"/>
          <w:snapToGrid/>
          <w:color w:val="auto"/>
          <w:kern w:val="0"/>
          <w:sz w:val="22"/>
          <w:szCs w:val="22"/>
          <w:lang w:val="en-US" w:eastAsia="zh-CN" w:bidi="ar-SA"/>
        </w:rPr>
        <w:t>供应商必须严格遵守国家、地方及医院的安全生产、文明施工、消防、治安、环保等各项法律法规和规章制度。</w:t>
      </w:r>
    </w:p>
    <w:p w14:paraId="238204BA">
      <w:pPr>
        <w:ind w:firstLine="480"/>
        <w:rPr>
          <w:rFonts w:hint="eastAsia" w:ascii="Arial" w:hAnsi="Arial" w:eastAsia="等线" w:cs="Arial"/>
          <w:snapToGrid/>
          <w:color w:val="auto"/>
          <w:kern w:val="0"/>
          <w:sz w:val="22"/>
          <w:szCs w:val="22"/>
          <w:lang w:val="en-US" w:eastAsia="zh-CN" w:bidi="ar-SA"/>
        </w:rPr>
      </w:pPr>
      <w:r>
        <w:rPr>
          <w:rFonts w:hint="eastAsia" w:eastAsia="等线" w:cs="Arial"/>
          <w:snapToGrid/>
          <w:color w:val="auto"/>
          <w:kern w:val="0"/>
          <w:sz w:val="22"/>
          <w:szCs w:val="22"/>
          <w:lang w:val="en-US" w:eastAsia="zh-CN" w:bidi="ar-SA"/>
        </w:rPr>
        <w:t>中选</w:t>
      </w:r>
      <w:r>
        <w:rPr>
          <w:rFonts w:hint="eastAsia" w:ascii="Arial" w:hAnsi="Arial" w:eastAsia="等线" w:cs="Arial"/>
          <w:snapToGrid/>
          <w:color w:val="auto"/>
          <w:kern w:val="0"/>
          <w:sz w:val="22"/>
          <w:szCs w:val="22"/>
          <w:lang w:val="en-US" w:eastAsia="zh-CN" w:bidi="ar-SA"/>
        </w:rPr>
        <w:t>供应商在施工期间发生的安全事故及由此产生的一切责任和费用由</w:t>
      </w:r>
      <w:r>
        <w:rPr>
          <w:rFonts w:hint="eastAsia" w:eastAsia="等线" w:cs="Arial"/>
          <w:snapToGrid/>
          <w:color w:val="auto"/>
          <w:kern w:val="0"/>
          <w:sz w:val="22"/>
          <w:szCs w:val="22"/>
          <w:lang w:val="en-US" w:eastAsia="zh-CN" w:bidi="ar-SA"/>
        </w:rPr>
        <w:t>中选</w:t>
      </w:r>
      <w:r>
        <w:rPr>
          <w:rFonts w:hint="eastAsia" w:ascii="Arial" w:hAnsi="Arial" w:eastAsia="等线" w:cs="Arial"/>
          <w:snapToGrid/>
          <w:color w:val="auto"/>
          <w:kern w:val="0"/>
          <w:sz w:val="22"/>
          <w:szCs w:val="22"/>
          <w:lang w:val="en-US" w:eastAsia="zh-CN" w:bidi="ar-SA"/>
        </w:rPr>
        <w:t>供应商承担。</w:t>
      </w:r>
    </w:p>
    <w:p w14:paraId="1708E7CB">
      <w:pPr>
        <w:ind w:firstLine="480"/>
        <w:rPr>
          <w:rFonts w:hint="eastAsia"/>
          <w:b/>
          <w:bCs/>
          <w:lang w:val="en-US" w:eastAsia="zh-CN"/>
        </w:rPr>
      </w:pPr>
      <w:r>
        <w:rPr>
          <w:rFonts w:hint="eastAsia" w:ascii="Arial" w:hAnsi="Arial" w:eastAsia="等线" w:cs="Arial"/>
          <w:snapToGrid/>
          <w:color w:val="auto"/>
          <w:kern w:val="0"/>
          <w:sz w:val="22"/>
          <w:szCs w:val="22"/>
          <w:lang w:val="en-US" w:eastAsia="zh-CN" w:bidi="ar-SA"/>
        </w:rPr>
        <w:t>施工区域必须围挡隔离，控制</w:t>
      </w:r>
      <w:r>
        <w:rPr>
          <w:rFonts w:hint="eastAsia" w:eastAsia="等线" w:cs="Arial"/>
          <w:snapToGrid/>
          <w:color w:val="auto"/>
          <w:kern w:val="0"/>
          <w:sz w:val="22"/>
          <w:szCs w:val="22"/>
          <w:lang w:val="en-US" w:eastAsia="zh-CN" w:bidi="ar-SA"/>
        </w:rPr>
        <w:t>噪声</w:t>
      </w:r>
      <w:r>
        <w:rPr>
          <w:rFonts w:hint="eastAsia" w:ascii="Arial" w:hAnsi="Arial" w:eastAsia="等线" w:cs="Arial"/>
          <w:snapToGrid/>
          <w:color w:val="auto"/>
          <w:kern w:val="0"/>
          <w:sz w:val="22"/>
          <w:szCs w:val="22"/>
          <w:lang w:val="en-US" w:eastAsia="zh-CN" w:bidi="ar-SA"/>
        </w:rPr>
        <w:t>、粉尘、异味做到工完场清，最大限度减少对医院正常秩序和患者就医环境的影响。</w:t>
      </w:r>
    </w:p>
    <w:p w14:paraId="18006806">
      <w:pPr>
        <w:pStyle w:val="14"/>
        <w:numPr>
          <w:ilvl w:val="0"/>
          <w:numId w:val="0"/>
        </w:numPr>
        <w:ind w:firstLine="440" w:firstLineChars="200"/>
        <w:rPr>
          <w:rFonts w:hint="eastAsia"/>
          <w:lang w:val="en-US" w:eastAsia="zh-CN"/>
        </w:rPr>
      </w:pPr>
      <w:r>
        <w:rPr>
          <w:rFonts w:hint="eastAsia"/>
          <w:b/>
          <w:bCs/>
          <w:lang w:val="en-US" w:eastAsia="zh-CN"/>
        </w:rPr>
        <w:t>7.违约责任与解决争议的方法：</w:t>
      </w:r>
      <w:r>
        <w:rPr>
          <w:rFonts w:hint="eastAsia"/>
          <w:lang w:val="en-US" w:eastAsia="zh-CN"/>
        </w:rPr>
        <w:t>政府采购合同的履行、违约责任和解决争议的方法等适用《中华人民共和国民法典》。</w:t>
      </w:r>
    </w:p>
    <w:p w14:paraId="17AE9FF2">
      <w:pPr>
        <w:pStyle w:val="13"/>
        <w:numPr>
          <w:ilvl w:val="0"/>
          <w:numId w:val="0"/>
        </w:numPr>
        <w:ind w:firstLine="643" w:firstLineChars="200"/>
        <w:jc w:val="both"/>
        <w:rPr>
          <w:rFonts w:hint="eastAsia" w:ascii="方正仿宋_GB2312" w:hAnsi="方正仿宋_GB2312" w:eastAsia="方正仿宋_GB2312" w:cs="方正仿宋_GB2312"/>
          <w:b/>
          <w:bCs/>
          <w:color w:val="000000"/>
          <w:kern w:val="0"/>
          <w:sz w:val="32"/>
          <w:szCs w:val="32"/>
          <w:vertAlign w:val="baseline"/>
          <w:lang w:val="en-US" w:eastAsia="zh-CN" w:bidi="ar-SA"/>
        </w:rPr>
      </w:pPr>
      <w:r>
        <w:rPr>
          <w:rFonts w:hint="eastAsia" w:ascii="方正仿宋_GB2312" w:hAnsi="方正仿宋_GB2312" w:eastAsia="方正仿宋_GB2312" w:cs="方正仿宋_GB2312"/>
          <w:b/>
          <w:bCs/>
          <w:color w:val="000000"/>
          <w:kern w:val="0"/>
          <w:sz w:val="32"/>
          <w:szCs w:val="32"/>
          <w:vertAlign w:val="baseline"/>
          <w:lang w:val="en-US" w:eastAsia="zh-CN" w:bidi="ar-SA"/>
        </w:rPr>
        <w:t>四、报价要求</w:t>
      </w:r>
    </w:p>
    <w:p w14:paraId="631D65F1">
      <w:pPr>
        <w:pStyle w:val="9"/>
        <w:numPr>
          <w:ilvl w:val="0"/>
          <w:numId w:val="0"/>
        </w:numPr>
        <w:ind w:firstLine="480" w:firstLineChars="200"/>
        <w:jc w:val="both"/>
        <w:rPr>
          <w:rFonts w:hint="eastAsia" w:ascii="仿宋_GB2312" w:hAnsi="仿宋_GB2312" w:eastAsia="仿宋_GB2312" w:cs="仿宋_GB2312"/>
          <w:color w:val="FF0000"/>
          <w:sz w:val="32"/>
          <w:szCs w:val="32"/>
          <w:lang w:val="en-US" w:eastAsia="zh-CN"/>
        </w:rPr>
      </w:pPr>
      <w:r>
        <w:rPr>
          <w:rFonts w:hint="eastAsia" w:ascii="Arial" w:hAnsi="Arial" w:eastAsia="宋体" w:cs="Arial"/>
          <w:color w:val="000000"/>
          <w:sz w:val="24"/>
          <w:szCs w:val="24"/>
          <w:lang w:val="en-US" w:eastAsia="zh-CN" w:bidi="ar-SA"/>
        </w:rPr>
        <w:t>项目最高限价</w:t>
      </w:r>
      <w:r>
        <w:rPr>
          <w:rFonts w:hint="eastAsia" w:ascii="Arial" w:hAnsi="Arial" w:eastAsia="宋体" w:cs="Arial"/>
          <w:color w:val="auto"/>
          <w:sz w:val="24"/>
          <w:szCs w:val="24"/>
          <w:lang w:val="en-US" w:eastAsia="zh-CN" w:bidi="ar-SA"/>
        </w:rPr>
        <w:t>：</w:t>
      </w:r>
      <w:r>
        <w:rPr>
          <w:rFonts w:hint="eastAsia" w:ascii="Arial" w:hAnsi="Arial" w:cs="Arial"/>
          <w:color w:val="000000"/>
          <w:sz w:val="24"/>
          <w:szCs w:val="24"/>
          <w:lang w:val="en-US" w:eastAsia="zh-CN" w:bidi="ar-SA"/>
        </w:rPr>
        <w:t>9.8</w:t>
      </w:r>
      <w:r>
        <w:rPr>
          <w:rFonts w:hint="eastAsia" w:ascii="Arial" w:hAnsi="Arial" w:eastAsia="宋体" w:cs="Arial"/>
          <w:color w:val="000000"/>
          <w:sz w:val="24"/>
          <w:szCs w:val="24"/>
          <w:lang w:val="en-US" w:eastAsia="zh-CN" w:bidi="ar-SA"/>
        </w:rPr>
        <w:t>万元，报价应包含与该项目有关的人工、设备、税费等一切费用</w:t>
      </w:r>
      <w:r>
        <w:rPr>
          <w:rFonts w:hint="eastAsia" w:ascii="Arial" w:hAnsi="Arial" w:cs="Arial"/>
          <w:color w:val="000000"/>
          <w:sz w:val="24"/>
          <w:szCs w:val="24"/>
          <w:lang w:val="en-US" w:eastAsia="zh-CN" w:bidi="ar-SA"/>
        </w:rPr>
        <w:t>；本项目采用总价包干形式，提供的图纸和清单供参考，各潜在供应商在现场踏勘时可进行补充，但最终报价不得高于最高限价。</w:t>
      </w:r>
    </w:p>
    <w:p w14:paraId="4400DD84">
      <w:pPr>
        <w:pStyle w:val="8"/>
        <w:numPr>
          <w:ilvl w:val="0"/>
          <w:numId w:val="0"/>
        </w:numPr>
        <w:spacing w:line="360" w:lineRule="auto"/>
        <w:ind w:leftChars="0" w:firstLine="321" w:firstLineChars="100"/>
        <w:rPr>
          <w:rFonts w:hint="eastAsia" w:ascii="方正仿宋_GB2312" w:hAnsi="方正仿宋_GB2312" w:eastAsia="方正仿宋_GB2312" w:cs="方正仿宋_GB2312"/>
          <w:i w:val="0"/>
          <w:iCs w:val="0"/>
          <w:caps w:val="0"/>
          <w:color w:val="000000"/>
          <w:spacing w:val="0"/>
          <w:sz w:val="24"/>
          <w:szCs w:val="24"/>
          <w:shd w:val="clear" w:fill="FFFFFF"/>
          <w:vertAlign w:val="baseline"/>
          <w:lang w:val="en-US" w:eastAsia="zh-CN"/>
        </w:rPr>
      </w:pPr>
      <w:r>
        <w:rPr>
          <w:rFonts w:hint="eastAsia" w:ascii="仿宋_GB2312" w:hAnsi="仿宋_GB2312" w:eastAsia="仿宋_GB2312" w:cs="仿宋_GB2312"/>
          <w:b/>
          <w:bCs/>
          <w:sz w:val="32"/>
          <w:szCs w:val="32"/>
          <w:lang w:val="en-US" w:eastAsia="zh-CN"/>
        </w:rPr>
        <w:t>注：</w:t>
      </w:r>
      <w:r>
        <w:rPr>
          <w:rFonts w:hint="eastAsia" w:ascii="仿宋_GB2312" w:hAnsi="仿宋_GB2312" w:eastAsia="仿宋_GB2312" w:cs="仿宋_GB2312"/>
          <w:b/>
          <w:bCs/>
          <w:color w:val="auto"/>
          <w:kern w:val="2"/>
          <w:sz w:val="32"/>
          <w:szCs w:val="32"/>
          <w:highlight w:val="none"/>
          <w:lang w:val="en-US" w:eastAsia="zh-CN" w:bidi="ar-SA"/>
        </w:rPr>
        <w:t>本章采购要求中的条款为本次采购项目的实质性要求，供应商应全部满足，否则视为响应文件无效。</w:t>
      </w: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03CC0E7-2297-4F39-86AC-903ED832A257}"/>
  </w:font>
  <w:font w:name="黑体">
    <w:altName w:val="黑体"/>
    <w:panose1 w:val="02010609060101010101"/>
    <w:charset w:val="86"/>
    <w:family w:val="auto"/>
    <w:pitch w:val="default"/>
    <w:sig w:usb0="800002BF" w:usb1="38CF7CFA" w:usb2="00000016" w:usb3="00000000" w:csb0="00040001" w:csb1="00000000"/>
    <w:embedRegular r:id="rId2" w:fontKey="{8104493E-E63A-4EB6-940D-A005577DF83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001010101"/>
    <w:charset w:val="86"/>
    <w:family w:val="auto"/>
    <w:pitch w:val="default"/>
    <w:sig w:usb0="00000000" w:usb1="00000000" w:usb2="00000016" w:usb3="00000000" w:csb0="0004000F" w:csb1="00000000"/>
    <w:embedRegular r:id="rId3" w:fontKey="{1AA13240-1F24-457E-AE42-0B43D50EF63B}"/>
  </w:font>
  <w:font w:name="微软雅黑">
    <w:panose1 w:val="020B0503020204020204"/>
    <w:charset w:val="86"/>
    <w:family w:val="auto"/>
    <w:pitch w:val="default"/>
    <w:sig w:usb0="80000287" w:usb1="280F3C52"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4" w:fontKey="{9141AC19-7114-4DE5-8EBA-506932A3BE7B}"/>
  </w:font>
  <w:font w:name="Arial Unicode MS">
    <w:panose1 w:val="020B0604020202020204"/>
    <w:charset w:val="86"/>
    <w:family w:val="auto"/>
    <w:pitch w:val="default"/>
    <w:sig w:usb0="FFFFFFFF" w:usb1="E9FFFFFF" w:usb2="0000003F" w:usb3="00000000" w:csb0="603F01FF" w:csb1="FFFF0000"/>
    <w:embedRegular r:id="rId5" w:fontKey="{8181D69B-4391-42EA-A4BD-9435E213B819}"/>
  </w:font>
  <w:font w:name="仿宋_GB2312">
    <w:panose1 w:val="02010609030101010101"/>
    <w:charset w:val="86"/>
    <w:family w:val="auto"/>
    <w:pitch w:val="default"/>
    <w:sig w:usb0="00000001" w:usb1="080E0000" w:usb2="00000000" w:usb3="00000000" w:csb0="00040000" w:csb1="00000000"/>
    <w:embedRegular r:id="rId6" w:fontKey="{197F4342-3FFC-4EA7-BDAF-7039922504C7}"/>
  </w:font>
  <w:font w:name="WPSEMBED1">
    <w:panose1 w:val="02010609060101010101"/>
    <w:charset w:val="86"/>
    <w:family w:val="auto"/>
    <w:pitch w:val="default"/>
    <w:sig w:usb0="800002BF" w:usb1="38CF7CFA" w:usb2="00000016" w:usb3="00000000" w:csb0="00040001" w:csb1="00000000"/>
  </w:font>
  <w:font w:name="WPSEMBED2">
    <w:panose1 w:val="020B0604020202020204"/>
    <w:charset w:val="86"/>
    <w:family w:val="auto"/>
    <w:pitch w:val="default"/>
    <w:sig w:usb0="FFFFFFFF" w:usb1="E9FFFFFF" w:usb2="0000003F" w:usb3="00000000" w:csb0="603F01FF" w:csb1="FFFF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2185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3BA1C">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23BA1C">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bullet"/>
      <w:pStyle w:val="16"/>
      <w:lvlText w:val="-"/>
      <w:lvlJc w:val="left"/>
      <w:pPr>
        <w:tabs>
          <w:tab w:val="left" w:pos="785"/>
        </w:tabs>
        <w:ind w:left="420" w:firstLine="5"/>
      </w:pPr>
      <w:rPr>
        <w:rFonts w:hint="eastAsia" w:ascii="宋体" w:hAnsi="Wingdings" w:eastAsia="宋体"/>
      </w:rPr>
    </w:lvl>
    <w:lvl w:ilvl="1" w:tentative="0">
      <w:start w:val="1"/>
      <w:numFmt w:val="bullet"/>
      <w:lvlText w:val=""/>
      <w:lvlJc w:val="left"/>
      <w:pPr>
        <w:tabs>
          <w:tab w:val="left" w:pos="3360"/>
        </w:tabs>
        <w:ind w:left="3360" w:hanging="420"/>
      </w:pPr>
      <w:rPr>
        <w:rFonts w:hint="default" w:ascii="Wingdings" w:hAnsi="Wingdings"/>
      </w:rPr>
    </w:lvl>
    <w:lvl w:ilvl="2" w:tentative="0">
      <w:start w:val="1"/>
      <w:numFmt w:val="bullet"/>
      <w:lvlText w:val=""/>
      <w:lvlJc w:val="left"/>
      <w:pPr>
        <w:tabs>
          <w:tab w:val="left" w:pos="3780"/>
        </w:tabs>
        <w:ind w:left="3780" w:hanging="420"/>
      </w:pPr>
      <w:rPr>
        <w:rFonts w:hint="default" w:ascii="Wingdings" w:hAnsi="Wingdings"/>
      </w:rPr>
    </w:lvl>
    <w:lvl w:ilvl="3" w:tentative="0">
      <w:start w:val="1"/>
      <w:numFmt w:val="bullet"/>
      <w:lvlText w:val=""/>
      <w:lvlJc w:val="left"/>
      <w:pPr>
        <w:tabs>
          <w:tab w:val="left" w:pos="4200"/>
        </w:tabs>
        <w:ind w:left="4200" w:hanging="420"/>
      </w:pPr>
      <w:rPr>
        <w:rFonts w:hint="default" w:ascii="Wingdings" w:hAnsi="Wingdings"/>
      </w:rPr>
    </w:lvl>
    <w:lvl w:ilvl="4" w:tentative="0">
      <w:start w:val="1"/>
      <w:numFmt w:val="bullet"/>
      <w:lvlText w:val=""/>
      <w:lvlJc w:val="left"/>
      <w:pPr>
        <w:tabs>
          <w:tab w:val="left" w:pos="4620"/>
        </w:tabs>
        <w:ind w:left="4620" w:hanging="420"/>
      </w:pPr>
      <w:rPr>
        <w:rFonts w:hint="default" w:ascii="Wingdings" w:hAnsi="Wingdings"/>
      </w:rPr>
    </w:lvl>
    <w:lvl w:ilvl="5" w:tentative="0">
      <w:start w:val="1"/>
      <w:numFmt w:val="bullet"/>
      <w:lvlText w:val=""/>
      <w:lvlJc w:val="left"/>
      <w:pPr>
        <w:tabs>
          <w:tab w:val="left" w:pos="5040"/>
        </w:tabs>
        <w:ind w:left="5040" w:hanging="420"/>
      </w:pPr>
      <w:rPr>
        <w:rFonts w:hint="default" w:ascii="Wingdings" w:hAnsi="Wingdings"/>
      </w:rPr>
    </w:lvl>
    <w:lvl w:ilvl="6" w:tentative="0">
      <w:start w:val="1"/>
      <w:numFmt w:val="bullet"/>
      <w:lvlText w:val=""/>
      <w:lvlJc w:val="left"/>
      <w:pPr>
        <w:tabs>
          <w:tab w:val="left" w:pos="5460"/>
        </w:tabs>
        <w:ind w:left="5460" w:hanging="420"/>
      </w:pPr>
      <w:rPr>
        <w:rFonts w:hint="default" w:ascii="Wingdings" w:hAnsi="Wingdings"/>
      </w:rPr>
    </w:lvl>
    <w:lvl w:ilvl="7" w:tentative="0">
      <w:start w:val="1"/>
      <w:numFmt w:val="bullet"/>
      <w:lvlText w:val=""/>
      <w:lvlJc w:val="left"/>
      <w:pPr>
        <w:tabs>
          <w:tab w:val="left" w:pos="5880"/>
        </w:tabs>
        <w:ind w:left="5880" w:hanging="420"/>
      </w:pPr>
      <w:rPr>
        <w:rFonts w:hint="default" w:ascii="Wingdings" w:hAnsi="Wingdings"/>
      </w:rPr>
    </w:lvl>
    <w:lvl w:ilvl="8" w:tentative="0">
      <w:start w:val="1"/>
      <w:numFmt w:val="bullet"/>
      <w:lvlText w:val=""/>
      <w:lvlJc w:val="left"/>
      <w:pPr>
        <w:tabs>
          <w:tab w:val="left" w:pos="6300"/>
        </w:tabs>
        <w:ind w:left="63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zNDk4N2M1NTliNmJjMDJlZDljYjE3OGU5YzM1ZTkifQ=="/>
  </w:docVars>
  <w:rsids>
    <w:rsidRoot w:val="797A28EE"/>
    <w:rsid w:val="0198707E"/>
    <w:rsid w:val="027C2594"/>
    <w:rsid w:val="02AF6F18"/>
    <w:rsid w:val="048D4113"/>
    <w:rsid w:val="051F20A0"/>
    <w:rsid w:val="08BA1ECD"/>
    <w:rsid w:val="0C6B1F05"/>
    <w:rsid w:val="0CE21123"/>
    <w:rsid w:val="0E3F06F8"/>
    <w:rsid w:val="0E542079"/>
    <w:rsid w:val="0EEA7E55"/>
    <w:rsid w:val="16962931"/>
    <w:rsid w:val="17750CA3"/>
    <w:rsid w:val="1A17118B"/>
    <w:rsid w:val="1C2B7D21"/>
    <w:rsid w:val="1C3500A0"/>
    <w:rsid w:val="1D1135A6"/>
    <w:rsid w:val="1D5F2712"/>
    <w:rsid w:val="20CE0ED9"/>
    <w:rsid w:val="241D03D1"/>
    <w:rsid w:val="24776234"/>
    <w:rsid w:val="27F02ECD"/>
    <w:rsid w:val="29AA6040"/>
    <w:rsid w:val="29BB1C64"/>
    <w:rsid w:val="2C463FDB"/>
    <w:rsid w:val="2DC21DC5"/>
    <w:rsid w:val="2EF67B70"/>
    <w:rsid w:val="34382FF1"/>
    <w:rsid w:val="353D596D"/>
    <w:rsid w:val="3704274F"/>
    <w:rsid w:val="37EE7B0E"/>
    <w:rsid w:val="3D3B655D"/>
    <w:rsid w:val="40D276CD"/>
    <w:rsid w:val="417664B6"/>
    <w:rsid w:val="466B2BA2"/>
    <w:rsid w:val="48052B82"/>
    <w:rsid w:val="4E552276"/>
    <w:rsid w:val="4E8C4B89"/>
    <w:rsid w:val="58FB735E"/>
    <w:rsid w:val="64F5163D"/>
    <w:rsid w:val="68CF0DC7"/>
    <w:rsid w:val="713169C7"/>
    <w:rsid w:val="72717AF6"/>
    <w:rsid w:val="72FC1993"/>
    <w:rsid w:val="734C56DF"/>
    <w:rsid w:val="73EE02CC"/>
    <w:rsid w:val="797A28EE"/>
    <w:rsid w:val="7B7B75DA"/>
    <w:rsid w:val="7BDA6192"/>
    <w:rsid w:val="7FDF7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annotation text"/>
    <w:basedOn w:val="1"/>
    <w:qFormat/>
    <w:uiPriority w:val="0"/>
    <w:pPr>
      <w:jc w:val="left"/>
    </w:pPr>
  </w:style>
  <w:style w:type="paragraph" w:styleId="5">
    <w:name w:val="Body Text Indent"/>
    <w:basedOn w:val="1"/>
    <w:qFormat/>
    <w:uiPriority w:val="0"/>
    <w:pPr>
      <w:ind w:firstLine="538" w:firstLineChars="192"/>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2"/>
    <w:unhideWhenUsed/>
    <w:qFormat/>
    <w:uiPriority w:val="99"/>
    <w:pPr>
      <w:ind w:firstLine="420" w:firstLineChars="100"/>
    </w:pPr>
  </w:style>
  <w:style w:type="paragraph" w:styleId="9">
    <w:name w:val="Body Text First Indent 2"/>
    <w:basedOn w:val="5"/>
    <w:qFormat/>
    <w:uiPriority w:val="0"/>
    <w:pPr>
      <w:spacing w:after="120"/>
      <w:ind w:left="420" w:leftChars="200" w:firstLine="420" w:firstLineChars="200"/>
    </w:pPr>
    <w:rPr>
      <w:rFonts w:ascii="Calibri" w:hAnsi="Calibri" w:eastAsia="宋体" w:cs="Times New Roman"/>
      <w:sz w:val="21"/>
      <w:szCs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5">
    <w:name w:val="U_正文2"/>
    <w:basedOn w:val="1"/>
    <w:qFormat/>
    <w:uiPriority w:val="0"/>
    <w:pPr>
      <w:spacing w:before="31" w:beforeLines="10" w:after="31" w:afterLines="10" w:line="300" w:lineRule="auto"/>
    </w:pPr>
    <w:rPr>
      <w:kern w:val="2"/>
      <w:sz w:val="24"/>
    </w:rPr>
  </w:style>
  <w:style w:type="paragraph" w:customStyle="1" w:styleId="16">
    <w:name w:val="U_编号2"/>
    <w:basedOn w:val="1"/>
    <w:qFormat/>
    <w:uiPriority w:val="0"/>
    <w:pPr>
      <w:numPr>
        <w:ilvl w:val="0"/>
        <w:numId w:val="1"/>
      </w:numPr>
      <w:spacing w:before="31" w:beforeLines="10" w:after="31" w:afterLines="10" w:line="300" w:lineRule="auto"/>
    </w:pPr>
    <w:rPr>
      <w:sz w:val="24"/>
      <w:szCs w:val="20"/>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styleId="18">
    <w:name w:val="Quote"/>
    <w:basedOn w:val="1"/>
    <w:next w:val="1"/>
    <w:qFormat/>
    <w:uiPriority w:val="0"/>
    <w:pPr>
      <w:ind w:left="864" w:right="864"/>
      <w:jc w:val="center"/>
    </w:pPr>
    <w:rPr>
      <w:i/>
      <w:color w:val="404040"/>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3d2bff4f-b354-4189-a8f3-641cc72362da</errorID>
      <errorWord>。。</errorWord>
      <group>L1_Punc</group>
      <groupName>标点问题</groupName>
      <ability>L2_Punc_CN</ability>
      <abilityName>标点符号问题</abilityName>
      <candidateList>
        <item>。</item>
      </candidateList>
      <explain/>
      <paraID>59D5023D</paraID>
      <start>29</start>
      <end>30</end>
      <status>modified</status>
      <modifiedWord>。</modifiedWord>
      <trackRevisions>false</trackRevisions>
    </reviewItem>
    <reviewItem>
      <errorID>927a7d6f-8799-4a11-a47e-2efc83799d23</errorID>
      <errorWord>(</errorWord>
      <group>L1_Format</group>
      <groupName>格式问题</groupName>
      <ability>L2_HalfPunc_CN</ability>
      <abilityName>全半角问题</abilityName>
      <candidateList>
        <item>（</item>
      </candidateList>
      <explain>文本全半角错误。</explain>
      <paraID>5A5B8FC6</paraID>
      <start>53</start>
      <end>54</end>
      <status>modified</status>
      <modifiedWord>（</modifiedWord>
      <trackRevisions>false</trackRevisions>
    </reviewItem>
    <reviewItem>
      <errorID>f7a3369c-de99-4af5-9195-bf6189d61736</errorID>
      <errorWord>)</errorWord>
      <group>L1_Format</group>
      <groupName>格式问题</groupName>
      <ability>L2_HalfPunc_CN</ability>
      <abilityName>全半角问题</abilityName>
      <candidateList>
        <item>）</item>
      </candidateList>
      <explain>文本全半角错误。</explain>
      <paraID>5A5B8FC6</paraID>
      <start>71</start>
      <end>72</end>
      <status>modified</status>
      <modifiedWord>）</modifiedWord>
      <trackRevisions>false</trackRevisions>
    </reviewItem>
    <reviewItem>
      <errorID>be7c83d6-678a-4544-8c5a-7dea7b9ce4d6</errorID>
      <errorWord>噪音</errorWord>
      <group>L1_Word</group>
      <groupName>字词问题</groupName>
      <ability>L2_Alias</ability>
      <abilityName>也作/曾用词</abilityName>
      <candidateList>
        <item>噪声</item>
      </candidateList>
      <explain>词汇[噪音]为不规范表述或旧称，其规范书面表述为[噪声]。</explain>
      <paraID>1708E7CB</paraID>
      <start>13</start>
      <end>15</end>
      <status>modified</status>
      <modifiedWord>噪声</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04f610-7597-4085-80ca-2b1888c61dd6}">
  <ds:schemaRefs/>
</ds:datastoreItem>
</file>

<file path=docProps/app.xml><?xml version="1.0" encoding="utf-8"?>
<Properties xmlns="http://schemas.openxmlformats.org/officeDocument/2006/extended-properties" xmlns:vt="http://schemas.openxmlformats.org/officeDocument/2006/docPropsVTypes">
  <Template>Normal.dotm</Template>
  <Pages>2</Pages>
  <Words>898</Words>
  <Characters>919</Characters>
  <Lines>0</Lines>
  <Paragraphs>0</Paragraphs>
  <TotalTime>4</TotalTime>
  <ScaleCrop>false</ScaleCrop>
  <LinksUpToDate>false</LinksUpToDate>
  <CharactersWithSpaces>925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2025-03-03T02:20:00Z</dcterms:created>
  <dc:creator>詹功强</dc:creator>
  <cp:lastModifiedBy>王旭</cp:lastModifiedBy>
  <cp:lastPrinted>2026-08-07T03:34:00Z</cp:lastPrinted>
  <dcterms:modified xsi:type="dcterms:W3CDTF">2026-08-13T01:34:55Z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13F5E52B93C3417186CB94CB707D1A5D_11</vt:lpwstr>
  </property>
  <property fmtid="{D5CDD505-2E9C-101B-9397-08002B2CF9AE}" pid="4" name="KSOTemplateDocerSaveRecord">
    <vt:lpwstr>eyJoZGlkIjoiNzc5YTdkNjg0NGZhYmEyZGM3NmJiMTM5NzBmY2RmNDAiLCJ1c2VySWQiOiIxNjUxMjY5MTU1In0=</vt:lpwstr>
  </property>
</Properties>
</file>